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media/image4.jpeg" ContentType="image/jpeg"/>
  <Override PartName="/word/media/image5.jpeg" ContentType="image/jpeg"/>
  <Override PartName="/word/media/image6.jpeg" ContentType="image/jpeg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body>
    <w:p>
      <w:pPr>
        <w:pStyle w:val="style0"/>
        <w:spacing w:after="0" w:before="0" w:line="100" w:lineRule="atLeast"/>
        <w:contextualSpacing w:val="false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0" w:name="_Toc37413420"/>
      <w:bookmarkEnd w:id="0"/>
      <w:r>
        <w:rPr>
          <w:rFonts w:ascii="Times New Roman" w:eastAsia="Times New Roman" w:hAnsi="Times New Roman"/>
          <w:sz w:val="24"/>
          <w:szCs w:val="24"/>
          <w:lang w:eastAsia="ru-RU"/>
        </w:rPr>
        <w:t>Приложение 1</w:t>
      </w:r>
    </w:p>
    <w:p>
      <w:pPr>
        <w:pStyle w:val="style0"/>
        <w:spacing w:after="0" w:before="0" w:line="100" w:lineRule="atLeast"/>
        <w:contextualSpacing w:val="false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к Постановлению Администрации </w:t>
      </w:r>
    </w:p>
    <w:p>
      <w:pPr>
        <w:pStyle w:val="style0"/>
        <w:spacing w:after="0" w:before="0" w:line="100" w:lineRule="atLeast"/>
        <w:contextualSpacing w:val="false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г.п. Коммунистический</w:t>
      </w:r>
    </w:p>
    <w:p>
      <w:pPr>
        <w:pStyle w:val="style0"/>
        <w:spacing w:after="0" w:before="0" w:line="100" w:lineRule="atLeast"/>
        <w:contextualSpacing w:val="false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1" w:name="_Toc37413420"/>
      <w:bookmarkStart w:id="2" w:name="_Toc37413442"/>
      <w:bookmarkStart w:id="3" w:name="_Toc76131595"/>
      <w:bookmarkEnd w:id="1"/>
      <w:bookmarkEnd w:id="2"/>
      <w:bookmarkEnd w:id="3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            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от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21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.10.2021 № </w:t>
      </w:r>
      <w:bookmarkStart w:id="4" w:name="_Toc25823565"/>
      <w:bookmarkStart w:id="5" w:name="_Toc73951604"/>
      <w:bookmarkStart w:id="6" w:name="_Toc54864693"/>
      <w:bookmarkStart w:id="7" w:name="_Toc79251813"/>
      <w:bookmarkStart w:id="8" w:name="_Toc462152548"/>
      <w:bookmarkStart w:id="9" w:name="_Toc351479856"/>
      <w:r>
        <w:rPr>
          <w:rFonts w:ascii="Times New Roman" w:eastAsia="Times New Roman" w:hAnsi="Times New Roman"/>
          <w:sz w:val="24"/>
          <w:szCs w:val="24"/>
          <w:lang w:eastAsia="ru-RU"/>
        </w:rPr>
        <w:t>220</w:t>
      </w:r>
    </w:p>
    <w:p>
      <w:pPr>
        <w:pStyle w:val="style0"/>
        <w:spacing w:after="0" w:before="0" w:line="100" w:lineRule="atLeast"/>
        <w:contextualSpacing w:val="false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</w:r>
    </w:p>
    <w:p>
      <w:pPr>
        <w:pStyle w:val="style0"/>
        <w:spacing w:after="0" w:before="0" w:line="100" w:lineRule="atLeast"/>
        <w:contextualSpacing w:val="false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ПРОЕКТ ПЛАНИРОВКИ ТЕРРИТОРРИИ. ОСНОВНАЯ ЧАСТЬ.</w:t>
      </w:r>
    </w:p>
    <w:p>
      <w:pPr>
        <w:pStyle w:val="style0"/>
        <w:spacing w:after="0" w:before="0" w:line="100" w:lineRule="atLeast"/>
        <w:contextualSpacing w:val="false"/>
        <w:jc w:val="both"/>
        <w:rPr>
          <w:rFonts w:ascii="Times New Roman" w:eastAsia="BatangChe" w:hAnsi="Times New Roman"/>
          <w:b/>
          <w:sz w:val="24"/>
          <w:szCs w:val="24"/>
        </w:rPr>
      </w:pPr>
      <w:r>
        <w:rPr>
          <w:rFonts w:ascii="Times New Roman" w:eastAsia="BatangChe" w:hAnsi="Times New Roman"/>
          <w:b/>
          <w:sz w:val="24"/>
          <w:szCs w:val="24"/>
        </w:rPr>
      </w:r>
    </w:p>
    <w:p>
      <w:pPr>
        <w:pStyle w:val="style0"/>
        <w:spacing w:after="0" w:before="0" w:line="100" w:lineRule="atLeast"/>
        <w:contextualSpacing w:val="false"/>
        <w:jc w:val="both"/>
        <w:rPr>
          <w:rFonts w:ascii="Times New Roman" w:eastAsia="BatangChe" w:hAnsi="Times New Roman"/>
          <w:b/>
          <w:sz w:val="24"/>
          <w:szCs w:val="24"/>
        </w:rPr>
      </w:pPr>
      <w:r>
        <w:rPr>
          <w:rFonts w:ascii="Times New Roman" w:eastAsia="BatangChe" w:hAnsi="Times New Roman"/>
          <w:b/>
          <w:sz w:val="24"/>
          <w:szCs w:val="24"/>
        </w:rPr>
        <w:t xml:space="preserve">ЧАСТЬ 1. </w:t>
      </w:r>
      <w:bookmarkStart w:id="10" w:name="_GoBack"/>
      <w:bookmarkEnd w:id="8"/>
      <w:bookmarkEnd w:id="9"/>
      <w:bookmarkEnd w:id="7"/>
      <w:bookmarkEnd w:id="10"/>
      <w:r>
        <w:rPr>
          <w:rFonts w:ascii="Times New Roman" w:eastAsia="BatangChe" w:hAnsi="Times New Roman"/>
          <w:b/>
          <w:sz w:val="24"/>
          <w:szCs w:val="24"/>
        </w:rPr>
        <w:t>НАИМЕНОВАНИЕ, ОСНОВНЫЕ ХАРАКТЕРИСТИКИ И НАЗНАЧЕНИЕ ПЛАНИРУЕМЫХ ДЛЯ РАЗМЕЩЕНИЯ ЛИНЕЙНЫХ ОБЪЕКТОВ, А ТАКЖЕ ЛИНЕЙНЫХ ОБЪЕКТОВ, ПОДЛЕЖАЩИХ РЕКОНСТРУКЦИИ В СВЯЗИ С ИЗМЕНЕНИЕМ ИХ МЕСТОПОЛОЖЕНИЯ</w:t>
      </w:r>
    </w:p>
    <w:p>
      <w:pPr>
        <w:pStyle w:val="style2"/>
        <w:tabs>
          <w:tab w:leader="none" w:pos="426" w:val="left"/>
        </w:tabs>
        <w:rPr>
          <w:rFonts w:ascii="Times New Roman" w:hAnsi="Times New Roman"/>
          <w:caps w:val="false"/>
          <w:smallCaps w:val="false"/>
          <w:szCs w:val="24"/>
          <w:lang w:eastAsia="ru-RU" w:val="ru-RU"/>
        </w:rPr>
      </w:pPr>
      <w:bookmarkStart w:id="11" w:name="_Toc79251814"/>
      <w:r>
        <w:rPr>
          <w:rFonts w:ascii="Times New Roman" w:hAnsi="Times New Roman"/>
          <w:szCs w:val="24"/>
          <w:lang w:eastAsia="ru-RU" w:val="ru-RU"/>
        </w:rPr>
        <w:t xml:space="preserve">1.1 </w:t>
      </w:r>
      <w:r>
        <w:rPr>
          <w:rFonts w:ascii="Times New Roman" w:hAnsi="Times New Roman"/>
          <w:caps w:val="false"/>
          <w:smallCaps w:val="false"/>
          <w:szCs w:val="24"/>
          <w:lang w:eastAsia="ru-RU" w:val="ru-RU"/>
        </w:rPr>
        <w:t>Наименование</w:t>
      </w:r>
      <w:r>
        <w:rPr>
          <w:rFonts w:ascii="Times New Roman" w:hAnsi="Times New Roman"/>
          <w:szCs w:val="24"/>
          <w:lang w:eastAsia="ru-RU" w:val="ru-RU"/>
        </w:rPr>
        <w:t xml:space="preserve">, </w:t>
      </w:r>
      <w:r>
        <w:rPr>
          <w:rFonts w:ascii="Times New Roman" w:hAnsi="Times New Roman"/>
          <w:caps w:val="false"/>
          <w:smallCaps w:val="false"/>
          <w:szCs w:val="24"/>
          <w:lang w:eastAsia="ru-RU"/>
        </w:rPr>
        <w:t>основные характеристики и назначение планируем</w:t>
      </w:r>
      <w:r>
        <w:rPr>
          <w:rFonts w:ascii="Times New Roman" w:hAnsi="Times New Roman"/>
          <w:caps w:val="false"/>
          <w:smallCaps w:val="false"/>
          <w:szCs w:val="24"/>
          <w:lang w:eastAsia="ru-RU" w:val="ru-RU"/>
        </w:rPr>
        <w:t>ых</w:t>
      </w:r>
      <w:r>
        <w:rPr>
          <w:rFonts w:ascii="Times New Roman" w:hAnsi="Times New Roman"/>
          <w:caps w:val="false"/>
          <w:smallCaps w:val="false"/>
          <w:szCs w:val="24"/>
          <w:lang w:eastAsia="ru-RU"/>
        </w:rPr>
        <w:t xml:space="preserve"> для размещения линейн</w:t>
      </w:r>
      <w:r>
        <w:rPr>
          <w:rFonts w:ascii="Times New Roman" w:hAnsi="Times New Roman"/>
          <w:caps w:val="false"/>
          <w:smallCaps w:val="false"/>
          <w:szCs w:val="24"/>
          <w:lang w:eastAsia="ru-RU" w:val="ru-RU"/>
        </w:rPr>
        <w:t>ых</w:t>
      </w:r>
      <w:r>
        <w:rPr>
          <w:rFonts w:ascii="Times New Roman" w:hAnsi="Times New Roman"/>
          <w:caps w:val="false"/>
          <w:smallCaps w:val="false"/>
          <w:szCs w:val="24"/>
          <w:lang w:eastAsia="ru-RU"/>
        </w:rPr>
        <w:t xml:space="preserve"> объект</w:t>
      </w:r>
      <w:bookmarkEnd w:id="11"/>
      <w:r>
        <w:rPr>
          <w:rFonts w:ascii="Times New Roman" w:hAnsi="Times New Roman"/>
          <w:caps w:val="false"/>
          <w:smallCaps w:val="false"/>
          <w:szCs w:val="24"/>
          <w:lang w:eastAsia="ru-RU" w:val="ru-RU"/>
        </w:rPr>
        <w:t>ов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  <w:lang w:eastAsia="ru-RU"/>
        </w:rPr>
      </w:pPr>
      <w:r>
        <w:rPr>
          <w:rFonts w:ascii="Times New Roman" w:hAnsi="Times New Roman"/>
          <w:szCs w:val="24"/>
          <w:lang w:eastAsia="ru-RU"/>
        </w:rPr>
        <w:t xml:space="preserve">Основные характеристики и назначение планируемого для размещения линейного объекта: </w:t>
      </w:r>
    </w:p>
    <w:p>
      <w:pPr>
        <w:pStyle w:val="style0"/>
        <w:widowControl w:val="false"/>
        <w:numPr>
          <w:ilvl w:val="0"/>
          <w:numId w:val="1"/>
        </w:numPr>
        <w:shd w:fill="FFFFFF" w:val="clear"/>
        <w:tabs>
          <w:tab w:leader="none" w:pos="709" w:val="left"/>
        </w:tabs>
        <w:suppressAutoHyphens w:val="true"/>
        <w:spacing w:after="0" w:before="240" w:line="300" w:lineRule="auto"/>
        <w:ind w:firstLine="426" w:left="0" w:right="0"/>
        <w:contextualSpacing/>
        <w:jc w:val="both"/>
        <w:rPr>
          <w:rFonts w:ascii="Times New Roman" w:eastAsia="Times New Roman" w:hAnsi="Times New Roman"/>
          <w:color w:val="000000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Cs w:val="24"/>
          <w:lang w:eastAsia="ru-RU"/>
        </w:rPr>
        <w:t>Наименование – распределительные сети водоснабжения.</w:t>
      </w:r>
    </w:p>
    <w:p>
      <w:pPr>
        <w:pStyle w:val="style0"/>
        <w:widowControl w:val="false"/>
        <w:numPr>
          <w:ilvl w:val="0"/>
          <w:numId w:val="1"/>
        </w:numPr>
        <w:shd w:fill="FFFFFF" w:val="clear"/>
        <w:tabs>
          <w:tab w:leader="none" w:pos="709" w:val="left"/>
        </w:tabs>
        <w:suppressAutoHyphens w:val="true"/>
        <w:spacing w:after="0" w:before="240" w:line="300" w:lineRule="auto"/>
        <w:ind w:firstLine="426" w:left="0" w:right="0"/>
        <w:contextualSpacing/>
        <w:jc w:val="both"/>
        <w:rPr>
          <w:rFonts w:ascii="Times New Roman" w:eastAsia="Times New Roman" w:hAnsi="Times New Roman"/>
          <w:color w:val="000000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Cs w:val="24"/>
          <w:lang w:eastAsia="ru-RU"/>
        </w:rPr>
        <w:t>Тип – наружные сети.</w:t>
      </w:r>
    </w:p>
    <w:p>
      <w:pPr>
        <w:pStyle w:val="style0"/>
        <w:widowControl w:val="false"/>
        <w:numPr>
          <w:ilvl w:val="0"/>
          <w:numId w:val="1"/>
        </w:numPr>
        <w:shd w:fill="FFFFFF" w:val="clear"/>
        <w:tabs>
          <w:tab w:leader="none" w:pos="709" w:val="left"/>
        </w:tabs>
        <w:suppressAutoHyphens w:val="true"/>
        <w:spacing w:after="0" w:before="240" w:line="300" w:lineRule="auto"/>
        <w:ind w:firstLine="426" w:left="0" w:right="0"/>
        <w:contextualSpacing/>
        <w:jc w:val="both"/>
        <w:rPr>
          <w:rFonts w:ascii="Times New Roman" w:eastAsia="Times New Roman" w:hAnsi="Times New Roman"/>
          <w:color w:val="000000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Cs w:val="24"/>
          <w:lang w:eastAsia="ru-RU"/>
        </w:rPr>
        <w:t>Назначение – хозяйственно-питьевое водоснабжение.</w:t>
      </w:r>
    </w:p>
    <w:p>
      <w:pPr>
        <w:pStyle w:val="style0"/>
        <w:widowControl w:val="false"/>
        <w:numPr>
          <w:ilvl w:val="0"/>
          <w:numId w:val="1"/>
        </w:numPr>
        <w:shd w:fill="FFFFFF" w:val="clear"/>
        <w:tabs>
          <w:tab w:leader="none" w:pos="709" w:val="left"/>
        </w:tabs>
        <w:suppressAutoHyphens w:val="true"/>
        <w:spacing w:after="0" w:before="240" w:line="300" w:lineRule="auto"/>
        <w:ind w:firstLine="426" w:left="0" w:right="0"/>
        <w:contextualSpacing/>
        <w:jc w:val="both"/>
        <w:rPr>
          <w:rFonts w:ascii="Times New Roman" w:eastAsia="Times New Roman" w:hAnsi="Times New Roman"/>
          <w:color w:val="000000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Cs w:val="24"/>
          <w:lang w:eastAsia="ru-RU"/>
        </w:rPr>
        <w:t>Диаметр труб – определяется на следующих этапах проектирования. Ориентировочный диаметр до 120 мм.</w:t>
      </w:r>
    </w:p>
    <w:p>
      <w:pPr>
        <w:pStyle w:val="style0"/>
        <w:widowControl w:val="false"/>
        <w:numPr>
          <w:ilvl w:val="0"/>
          <w:numId w:val="1"/>
        </w:numPr>
        <w:shd w:fill="FFFFFF" w:val="clear"/>
        <w:tabs>
          <w:tab w:leader="none" w:pos="709" w:val="left"/>
        </w:tabs>
        <w:suppressAutoHyphens w:val="true"/>
        <w:spacing w:after="0" w:before="240" w:line="300" w:lineRule="auto"/>
        <w:ind w:firstLine="426" w:left="0" w:right="0"/>
        <w:contextualSpacing/>
        <w:jc w:val="both"/>
        <w:rPr>
          <w:rFonts w:ascii="Times New Roman" w:eastAsia="Times New Roman" w:hAnsi="Times New Roman"/>
          <w:color w:val="000000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Cs w:val="24"/>
          <w:lang w:eastAsia="ru-RU"/>
        </w:rPr>
        <w:t xml:space="preserve">Протяженность  – </w:t>
      </w:r>
      <w:r>
        <w:rPr>
          <w:rFonts w:ascii="Times New Roman" w:hAnsi="Times New Roman"/>
        </w:rPr>
        <w:t>4,2 км</w:t>
      </w:r>
      <w:r>
        <w:rPr>
          <w:rFonts w:ascii="Times New Roman" w:eastAsia="Times New Roman" w:hAnsi="Times New Roman"/>
          <w:color w:val="000000"/>
          <w:szCs w:val="24"/>
          <w:lang w:eastAsia="ru-RU"/>
        </w:rPr>
        <w:t>.</w:t>
      </w:r>
    </w:p>
    <w:p>
      <w:pPr>
        <w:pStyle w:val="style2"/>
        <w:tabs>
          <w:tab w:leader="none" w:pos="426" w:val="left"/>
        </w:tabs>
        <w:jc w:val="both"/>
        <w:rPr>
          <w:rFonts w:ascii="Times New Roman" w:hAnsi="Times New Roman"/>
          <w:caps w:val="false"/>
          <w:smallCaps w:val="false"/>
        </w:rPr>
      </w:pPr>
      <w:bookmarkStart w:id="12" w:name="_Toc79251815"/>
      <w:r>
        <w:rPr>
          <w:rFonts w:ascii="Times New Roman" w:hAnsi="Times New Roman"/>
          <w:szCs w:val="24"/>
          <w:lang w:eastAsia="ru-RU" w:val="ru-RU"/>
        </w:rPr>
        <w:t xml:space="preserve">1.2 </w:t>
      </w:r>
      <w:r>
        <w:rPr>
          <w:rFonts w:ascii="Times New Roman" w:hAnsi="Times New Roman"/>
          <w:caps w:val="false"/>
          <w:smallCaps w:val="false"/>
          <w:szCs w:val="24"/>
          <w:lang w:eastAsia="ru-RU" w:val="ru-RU"/>
        </w:rPr>
        <w:t>Наименование</w:t>
      </w:r>
      <w:r>
        <w:rPr>
          <w:rFonts w:ascii="Times New Roman" w:hAnsi="Times New Roman"/>
          <w:szCs w:val="24"/>
          <w:lang w:eastAsia="ru-RU" w:val="ru-RU"/>
        </w:rPr>
        <w:t xml:space="preserve">, </w:t>
      </w:r>
      <w:r>
        <w:rPr>
          <w:rFonts w:ascii="Times New Roman" w:hAnsi="Times New Roman"/>
          <w:caps w:val="false"/>
          <w:smallCaps w:val="false"/>
          <w:szCs w:val="24"/>
          <w:lang w:eastAsia="ru-RU" w:val="ru-RU"/>
        </w:rPr>
        <w:t xml:space="preserve">основные характеристики и назначение </w:t>
      </w:r>
      <w:r>
        <w:rPr>
          <w:rFonts w:ascii="Times New Roman" w:hAnsi="Times New Roman"/>
          <w:caps w:val="false"/>
          <w:smallCaps w:val="false"/>
        </w:rPr>
        <w:t>линейных объектов</w:t>
      </w:r>
      <w:r>
        <w:rPr>
          <w:rFonts w:ascii="Times New Roman" w:hAnsi="Times New Roman"/>
        </w:rPr>
        <w:t>,</w:t>
      </w:r>
      <w:bookmarkEnd w:id="12"/>
      <w:r>
        <w:rPr>
          <w:rFonts w:ascii="Times New Roman" w:hAnsi="Times New Roman"/>
          <w:caps w:val="false"/>
          <w:smallCaps w:val="false"/>
        </w:rPr>
        <w:t xml:space="preserve"> подлежащих реконструкции в связи с изменением их местоположения</w:t>
      </w:r>
    </w:p>
    <w:p>
      <w:pPr>
        <w:pStyle w:val="style0"/>
        <w:widowControl w:val="false"/>
        <w:shd w:fill="FFFFFF" w:val="clear"/>
        <w:tabs>
          <w:tab w:leader="none" w:pos="709" w:val="left"/>
        </w:tabs>
        <w:suppressAutoHyphens w:val="true"/>
        <w:spacing w:after="200" w:before="120" w:line="300" w:lineRule="auto"/>
        <w:ind w:firstLine="709" w:left="0" w:right="0"/>
        <w:contextualSpacing w:val="false"/>
        <w:jc w:val="both"/>
        <w:rPr>
          <w:rFonts w:ascii="Times New Roman" w:eastAsia="Times New Roman" w:hAnsi="Times New Roman"/>
          <w:color w:val="000000"/>
          <w:szCs w:val="24"/>
          <w:lang w:eastAsia="ru-RU"/>
        </w:rPr>
      </w:pPr>
      <w:bookmarkStart w:id="13" w:name="_Toc79251816"/>
      <w:r>
        <w:rPr>
          <w:rFonts w:ascii="Times New Roman" w:eastAsia="Times New Roman" w:hAnsi="Times New Roman"/>
          <w:color w:val="000000"/>
          <w:szCs w:val="24"/>
          <w:lang w:eastAsia="ru-RU"/>
        </w:rPr>
        <w:t>Настоящим проектом не планируется размещение линейных объектов, подлежащих реконструкция в связи с изменением их местоположения.</w:t>
      </w:r>
    </w:p>
    <w:p>
      <w:pPr>
        <w:pStyle w:val="style0"/>
        <w:widowControl w:val="false"/>
        <w:shd w:fill="FFFFFF" w:val="clear"/>
        <w:suppressAutoHyphens w:val="true"/>
        <w:spacing w:after="200" w:before="120" w:line="300" w:lineRule="auto"/>
        <w:contextualSpacing w:val="false"/>
        <w:jc w:val="both"/>
        <w:rPr>
          <w:rFonts w:ascii="Times New Roman" w:hAnsi="Times New Roman"/>
          <w:b/>
          <w:sz w:val="24"/>
          <w:szCs w:val="24"/>
        </w:rPr>
      </w:pPr>
      <w:bookmarkEnd w:id="13"/>
      <w:r>
        <w:rPr>
          <w:rFonts w:ascii="Times New Roman" w:hAnsi="Times New Roman"/>
          <w:b/>
          <w:sz w:val="24"/>
          <w:szCs w:val="24"/>
        </w:rPr>
        <w:t>ЧАСТЬ 2. ПЕРЕЧЕНЬ СУБЪЕКТОВ РОССИЙСКОЙ ФЕДЕРАЦИИ, ПЕРЕЧЕНЬ МУНИЦИПАЛЬНЫХ РАЙОНОВ, ГОРОДСКИХ ОКРУГОВ В СОСТАВЕ СУБЪЕКТОВ РОССИЙСКОЙ ФЕДЕРАЦИИ, ПЕРЕЧЕНЬ ПОСЕЛЕНИЙ, НАСЕЛЕННЫХ ПУНКТОВ, ВНУТРИГОРОДСКИХ ТЕРРИТОРИЙ ГОРОДОВ ФЕДЕРАЛЬНОГО ЗНАЧЕНИЯ, НА ТЕРРИТОРИЯХ КОТОРЫХ УСТАНАВЛИВАЮТСЯ ЗОНЫ ПЛАНИРУЕМОГО РАЗМЕЩЕНИЯ ЛИНЕЙНЫХ ОБЪЕКТОВ</w:t>
      </w:r>
    </w:p>
    <w:p>
      <w:pPr>
        <w:pStyle w:val="style0"/>
        <w:widowControl w:val="false"/>
        <w:shd w:fill="FFFFFF" w:val="clear"/>
        <w:tabs>
          <w:tab w:leader="none" w:pos="709" w:val="left"/>
        </w:tabs>
        <w:suppressAutoHyphens w:val="true"/>
        <w:spacing w:line="300" w:lineRule="auto"/>
        <w:ind w:firstLine="709" w:left="0" w:right="0"/>
        <w:jc w:val="both"/>
        <w:rPr>
          <w:rFonts w:ascii="Times New Roman" w:hAnsi="Times New Roman"/>
          <w:lang w:eastAsia="ru-RU"/>
        </w:rPr>
      </w:pPr>
      <w:bookmarkStart w:id="14" w:name="_Toc79251817"/>
      <w:bookmarkStart w:id="15" w:name="_Toc490485122"/>
      <w:r>
        <w:rPr>
          <w:rFonts w:ascii="Times New Roman" w:hAnsi="Times New Roman"/>
          <w:lang w:eastAsia="ru-RU"/>
        </w:rPr>
        <w:t>Зона планируемого размещения линейного объекта устанавливается на территории поселка городского типа Коммунистический городского поселения Коммунистический Советского района Ханты-Мансийского автономного округа - Югры.</w:t>
      </w:r>
    </w:p>
    <w:p>
      <w:pPr>
        <w:pStyle w:val="style0"/>
        <w:widowControl w:val="false"/>
        <w:shd w:fill="FFFFFF" w:val="clear"/>
        <w:suppressAutoHyphens w:val="true"/>
        <w:spacing w:line="30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ЧАСТЬ 3. ЗОНЫ ПЛАНИРУЕМОГО РАЗМЕЩЕНИЯ </w:t>
      </w:r>
      <w:bookmarkEnd w:id="15"/>
      <w:bookmarkEnd w:id="14"/>
      <w:r>
        <w:rPr>
          <w:rFonts w:ascii="Times New Roman" w:hAnsi="Times New Roman"/>
          <w:b/>
          <w:sz w:val="24"/>
          <w:szCs w:val="24"/>
        </w:rPr>
        <w:t>ЛИНЕЙНЫХ ОБЪЕКТОВ</w:t>
      </w:r>
    </w:p>
    <w:p>
      <w:pPr>
        <w:pStyle w:val="style2"/>
        <w:numPr>
          <w:ilvl w:val="1"/>
          <w:numId w:val="3"/>
        </w:numPr>
        <w:tabs>
          <w:tab w:leader="none" w:pos="426" w:val="left"/>
        </w:tabs>
        <w:ind w:hanging="360" w:left="0" w:right="0"/>
        <w:rPr>
          <w:rFonts w:ascii="Times New Roman" w:hAnsi="Times New Roman"/>
          <w:caps w:val="false"/>
          <w:smallCaps w:val="false"/>
          <w:szCs w:val="24"/>
          <w:lang w:val="ru-RU"/>
        </w:rPr>
      </w:pPr>
      <w:bookmarkStart w:id="16" w:name="_Toc79251818"/>
      <w:bookmarkStart w:id="17" w:name="_Toc452518"/>
      <w:r>
        <w:rPr>
          <w:rFonts w:ascii="Times New Roman" w:hAnsi="Times New Roman"/>
          <w:caps w:val="false"/>
          <w:smallCaps w:val="false"/>
          <w:szCs w:val="24"/>
          <w:lang w:val="ru-RU"/>
        </w:rPr>
        <w:t>Перечень координат характерных точек границ з</w:t>
      </w:r>
      <w:r>
        <w:rPr>
          <w:rFonts w:ascii="Times New Roman" w:hAnsi="Times New Roman"/>
          <w:caps w:val="false"/>
          <w:smallCaps w:val="false"/>
          <w:szCs w:val="24"/>
        </w:rPr>
        <w:t>он планируемого размещения линейных объектов</w:t>
      </w:r>
      <w:bookmarkEnd w:id="16"/>
      <w:bookmarkEnd w:id="17"/>
      <w:r>
        <w:rPr>
          <w:rFonts w:ascii="Times New Roman" w:hAnsi="Times New Roman"/>
          <w:caps w:val="false"/>
          <w:smallCaps w:val="false"/>
          <w:szCs w:val="24"/>
          <w:lang w:val="ru-RU"/>
        </w:rPr>
        <w:t xml:space="preserve"> 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  <w:lang w:eastAsia="ru-RU"/>
        </w:rPr>
      </w:pPr>
      <w:r>
        <w:rPr>
          <w:rFonts w:ascii="Times New Roman" w:hAnsi="Times New Roman"/>
          <w:szCs w:val="24"/>
          <w:lang w:eastAsia="ru-RU"/>
        </w:rPr>
        <w:t xml:space="preserve">Перечень координат характерных точек </w:t>
      </w:r>
      <w:r>
        <w:rPr>
          <w:rFonts w:ascii="Times New Roman" w:hAnsi="Times New Roman"/>
          <w:szCs w:val="28"/>
        </w:rPr>
        <w:t>границы зоны планируемого размещения линейного объекта</w:t>
      </w:r>
      <w:r>
        <w:rPr>
          <w:rFonts w:ascii="Times New Roman" w:hAnsi="Times New Roman"/>
          <w:szCs w:val="24"/>
          <w:lang w:eastAsia="ru-RU"/>
        </w:rPr>
        <w:t xml:space="preserve"> представлен в таблице 3.1. </w:t>
      </w:r>
    </w:p>
    <w:p>
      <w:pPr>
        <w:pStyle w:val="style0"/>
        <w:spacing w:after="200" w:before="120" w:line="300" w:lineRule="auto"/>
        <w:ind w:hanging="0" w:left="360" w:right="0"/>
        <w:contextualSpacing w:val="false"/>
        <w:jc w:val="right"/>
        <w:rPr/>
      </w:pPr>
      <w:r>
        <w:rPr/>
      </w:r>
    </w:p>
    <w:p>
      <w:pPr>
        <w:pStyle w:val="style0"/>
        <w:spacing w:after="200" w:before="120" w:line="300" w:lineRule="auto"/>
        <w:ind w:hanging="0" w:left="360" w:right="0"/>
        <w:contextualSpacing w:val="false"/>
        <w:jc w:val="right"/>
        <w:rPr/>
      </w:pPr>
      <w:r>
        <w:rPr/>
      </w:r>
    </w:p>
    <w:p>
      <w:pPr>
        <w:pStyle w:val="style0"/>
        <w:spacing w:after="200" w:before="120" w:line="300" w:lineRule="auto"/>
        <w:ind w:hanging="0" w:left="360" w:right="0"/>
        <w:contextualSpacing w:val="false"/>
        <w:jc w:val="right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>Таблица 3.1</w:t>
      </w:r>
    </w:p>
    <w:p>
      <w:pPr>
        <w:pStyle w:val="style0"/>
        <w:spacing w:line="300" w:lineRule="auto"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Перечень координат характерных точек границы зоны планируемого размещения </w:t>
      </w:r>
    </w:p>
    <w:p>
      <w:pPr>
        <w:pStyle w:val="style0"/>
        <w:spacing w:line="300" w:lineRule="auto"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>линейного объекта</w:t>
      </w:r>
    </w:p>
    <w:tbl>
      <w:tblPr>
        <w:tblW w:type="dxa" w:w="9921"/>
        <w:jc w:val="center"/>
        <w:tblInd w:type="dxa" w:w="0"/>
        <w:tblBorders>
          <w:top w:color="00000A" w:space="0" w:sz="4" w:val="single"/>
          <w:left w:color="00000A" w:space="0" w:sz="4" w:val="single"/>
          <w:bottom w:color="00000A" w:space="0" w:sz="4" w:val="single"/>
          <w:insideH w:color="00000A" w:space="0" w:sz="4" w:val="single"/>
          <w:right w:color="00000A" w:space="0" w:sz="4" w:val="single"/>
          <w:insideV w:color="00000A" w:space="0" w:sz="4" w:val="single"/>
        </w:tblBorders>
        <w:tblCellMar>
          <w:top w:type="dxa" w:w="0"/>
          <w:left w:type="dxa" w:w="108"/>
          <w:bottom w:type="dxa" w:w="0"/>
          <w:right w:type="dxa" w:w="108"/>
        </w:tblCellMar>
      </w:tblPr>
      <w:tblGrid>
        <w:gridCol w:w="2547"/>
        <w:gridCol w:w="3549"/>
        <w:gridCol w:w="3825"/>
      </w:tblGrid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№ 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точки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X, м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Y, м</w:t>
            </w:r>
          </w:p>
        </w:tc>
      </w:tr>
    </w:tbl>
    <w:p>
      <w:pPr>
        <w:pStyle w:val="style0"/>
        <w:spacing w:line="12" w:lineRule="auto"/>
        <w:rPr>
          <w:rFonts w:ascii="Times New Roman" w:hAnsi="Times New Roman"/>
        </w:rPr>
      </w:pPr>
      <w:r>
        <w:rPr>
          <w:rFonts w:ascii="Times New Roman" w:hAnsi="Times New Roman"/>
        </w:rPr>
      </w:r>
    </w:p>
    <w:tbl>
      <w:tblPr>
        <w:tblW w:type="dxa" w:w="9921"/>
        <w:jc w:val="center"/>
        <w:tblInd w:type="dxa" w:w="0"/>
        <w:tblBorders>
          <w:top w:color="00000A" w:space="0" w:sz="4" w:val="single"/>
          <w:left w:color="00000A" w:space="0" w:sz="4" w:val="single"/>
          <w:bottom w:color="00000A" w:space="0" w:sz="4" w:val="single"/>
          <w:insideH w:color="00000A" w:space="0" w:sz="4" w:val="single"/>
          <w:right w:color="00000A" w:space="0" w:sz="4" w:val="single"/>
          <w:insideV w:color="00000A" w:space="0" w:sz="4" w:val="single"/>
        </w:tblBorders>
        <w:tblCellMar>
          <w:top w:type="dxa" w:w="0"/>
          <w:left w:type="dxa" w:w="108"/>
          <w:bottom w:type="dxa" w:w="0"/>
          <w:right w:type="dxa" w:w="108"/>
        </w:tblCellMar>
      </w:tblPr>
      <w:tblGrid>
        <w:gridCol w:w="2547"/>
        <w:gridCol w:w="3549"/>
        <w:gridCol w:w="3825"/>
      </w:tblGrid>
      <w:tr>
        <w:trPr>
          <w:tblHeader w:val="true"/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9921"/>
            <w:gridSpan w:val="3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E5DFEC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  <w:t>Контур 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1038295,52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1734110,56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1038262,63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1734140,09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1038249,24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1734125,58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1038235,88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1734110,52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1038221,70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1734093,93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1038214,92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1734099,85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1038257,14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1734148,36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1038264,84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1734141,48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1038296,45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1734115,34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1038301,11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1734112,60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1038302,85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1734114,57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1038311,98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1734109,61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1038346,36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1734146,21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1038352,48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1734152,80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1038364,47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1734166,26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1038401,06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1734209,84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1038427,93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1734240,92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1038567,14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1734113,44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1038630,61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1734056,17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1038643,42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1734044,74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1038663,70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1734026,70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1038683,33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1734011,86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1038715,69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1733987,31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1038721,44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1733972,38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1038719,69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1733969,40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1038724,64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1733964,08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1038744,43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1733915,76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1038747,05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1733887,39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1038746,43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1733788,97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1038731,91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1733740,97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1038689,20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1733683,02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1038671,69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1733697,74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1038628,87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1733656,71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1038650,21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1733631,81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1038618,82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1733591,31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1038569,69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1733562,17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1038498,53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1733514,49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1038452,28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1733554,44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1038448,10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1733558,27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1038422,54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1733581,02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1038416,79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1733585,94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1038391,91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1733607,22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1038383,27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1733614,61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1038361,61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1733632,96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1038332,59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1733657,56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1038315,16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1733672,32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1038295,09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1733689,73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1038268,73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1733711,90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1038253,12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1733725,02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1038237,62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1733737,75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1038237,02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1733738,25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1038234,14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1733735,33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1038216,10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1733750,04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1038212,71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1733749,12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1038172,02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1733695,37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1038164,70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1733685,79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1038150,31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1733665,61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1038090,89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1733708,77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1038084,88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1733710,44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1038077,76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1733703,34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1038067,84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1733705,30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1038071,48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1733711,21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1038086,26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1733725,93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1038150,63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1733675,92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1038154,86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1733681,70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1038215,25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1733763,59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1038239,70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1733743,16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1038252,86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1733731,57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1038268,14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1733718,86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1038283,22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1733706,18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1038302,50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1733689,74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1038315,35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1733678,26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1038330,60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1733665,44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1038346,09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1733652,31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1038359,48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1733641,25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1038393,23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1733612,02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1038415,33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1733592,89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1038432,14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1733578,48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1038450,00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1733562,61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1038472,40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1733543,91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1038487,65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1733530,95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1038493,38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1733527,09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1038508,30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1733529,18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1038566,87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1733567,75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1038592,04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1733588,28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1038592,80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1733592,79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1038564,18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1733617,15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1038544,03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1733634,29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1038521,10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1733653,81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1038504,34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1733668,35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1038485,90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1733684,55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1038473,53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1733695,66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1038441,50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1733724,43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1038391,24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1733769,57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1038386,31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1733774,50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1038351,75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1733804,57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1038320,84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1733831,47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1038301,60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1733848,80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1038292,74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1733857,32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1038251,32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1733897,14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1038217,36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1733918,44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1038215,64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1733929,44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1038211,26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1733933,54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1038207,13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1733945,58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1038199,33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1733966,87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1038212,25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1733978,91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1038212,69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1733983,20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1038213,03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1733985,99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1038220,32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1734003,61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1038242,19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1734029,33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1038281,01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1734074,50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1038300,01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1734096,53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1038303,21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1734103,09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9921"/>
            <w:gridSpan w:val="3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E5DFEC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  <w:t>Контур 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1038245,76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1734028,96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1038240,36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1734022,95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1038226,01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1734006,16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1038221,81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1733997,93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1038217,16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1733986,87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1038215,05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1733982,78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1038215,58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1733970,17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1038210,77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1733964,72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1038216,56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1733948,92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1038223,24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1733929,44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1038224,64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1733921,67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1038234,23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1733915,73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1038248,38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1733903,26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1038258,98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1733894,13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1038300,81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1733857,17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1038318,27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1733841,01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1038394,63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1733771,52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1038453,37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1733720,88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1038512,01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1733670,08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1038565,55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1733623,13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1038595,24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1733596,92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1038600,71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1733595,10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1038614,95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1733598,08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1038643,88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1733636,40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1038625,93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1733658,63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1038671,91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1733703,74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1038686,59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1733692,99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1038721,89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1733739,75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1038723,54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1733742,26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1038643,49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1733808,62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1038640,53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1733808,41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1038607,41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1733777,80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1038595,90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1733767,16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1038576,00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1733746,96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1038577,22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1733745,85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1038574,27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1733742,48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1038573,13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1733743,50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1038571,10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1733741,25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1038523,57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1733785,68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1038249,68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1734028,39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1038247,27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1734030,63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9921"/>
            <w:gridSpan w:val="3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E5DFEC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  <w:t>Контур 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1038252,91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1734036,52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1038304,48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1733990,37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1038311,30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1733984,01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1038377,87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1733924,58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1038399,78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1733905,83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1038431,12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1733876,81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1038437,60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1733871,57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1038469,47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1733843,81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1038482,78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1733831,37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1038514,75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1733802,90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1038529,11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1733789,40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1038535,07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1733783,99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1038548,80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1733771,14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1038571,68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1733750,62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1038639,31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1733818,91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1038604,47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1733847,17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1038606,19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1733850,05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1038577,16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1733873,37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1038453,58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1733977,18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1038312,28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1734101,08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1038310,11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1734098,85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1038264,04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1734049,72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9921"/>
            <w:gridSpan w:val="3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E5DFEC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  <w:t>Контур 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1038326,33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1734118,46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1038314,70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1734104,05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1038326,61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1734093,49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1038334,82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1734086,01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1038340,76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1734081,03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1038362,81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1734061,85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1038362,96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1734061,72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1038390,42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1734037,84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1038413,10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1734018,12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1038416,85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1734014,86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1038441,35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1733993,55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1038463,16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1733974,59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1038491,54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1733950,11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1038500,47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1733942,41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1038521,59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1733924,20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1038525,17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1733921,11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1038541,01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1733908,04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1038548,42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1733901,92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1038562,34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1733890,44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1038606,51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1733853,98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1038643,96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1733824,30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1038648,29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1733819,10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1038647,78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1733814,54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1038668,99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1733796,62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1038683,11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1733785,10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1038725,69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1733749,59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1038739,36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1733789,58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1038739,33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1733796,41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1038736,99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1733877,99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1038707,69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1733859,20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1038635,07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1733920,56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1038617,46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1733936,88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1038589,72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1733960,67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1038581,30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1733967,90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1038574,40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1733973,82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1038566,83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1733980,32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1038554,65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1733989,73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1038549,35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1733993,83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1038519,23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1734017,10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1038514,73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1734020,72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1038461,68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1734063,83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1038458,61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1734066,63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1038449,61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1734075,55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1038439,05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1734084,55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1038438,31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1734083,56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1038434,11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1734086,92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1038426,27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1734093,55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1038407,02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1734109,92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1038393,75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1734121,20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1038390,53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1734123,94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1038382,14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1734131,07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1038374,27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1734137,74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1038374,51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1734138,06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1038369,70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1734141,82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1038369,61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1734141,69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1038356,06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1734153,18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1038349,23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1734145,38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1038336,01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1734129,83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9921"/>
            <w:gridSpan w:val="3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E5DFEC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  <w:t>Контур 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1038383,82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1734134,47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1038402,22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1734118,20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1038424,20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1734100,20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1038494,30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1734042,97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1038557,68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1733990,97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1038581,37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1733971,34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1038594,56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1733966,71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1038606,87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1733955,73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1038625,99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1733938,65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1038637,47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1733927,14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1038651,50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1733914,90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1038665,39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1733903,80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1038700,42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1733874,30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1038708,69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1733867,88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1038720,12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1733875,04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1038725,52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1733883,08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1038736,79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1733889,75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1038735,62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1733913,29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1038707,38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1733981,15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1038660,68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1734020,81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1038630,12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1734048,53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1038563,66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1734108,68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257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1038435,45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1734226,63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258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1038427,04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1734229,06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259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1038420,03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1734226,02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1038413,21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1734218,27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261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1038401,66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1734203,89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262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1038397,63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1734197,69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263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1038392,66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1734191,75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1038369,62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1734164,23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265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1038368,19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1734165,41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254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266</w:t>
            </w:r>
          </w:p>
        </w:tc>
        <w:tc>
          <w:tcPr>
            <w:tcW w:type="dxa" w:w="3549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1038359,59</w:t>
            </w:r>
          </w:p>
        </w:tc>
        <w:tc>
          <w:tcPr>
            <w:tcW w:type="dxa" w:w="382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line="100" w:lineRule="atLeast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1734154,81</w:t>
            </w:r>
          </w:p>
        </w:tc>
      </w:tr>
    </w:tbl>
    <w:p>
      <w:pPr>
        <w:pStyle w:val="style0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style2"/>
        <w:numPr>
          <w:ilvl w:val="1"/>
          <w:numId w:val="18"/>
        </w:numPr>
        <w:tabs>
          <w:tab w:leader="none" w:pos="567" w:val="left"/>
        </w:tabs>
        <w:ind w:hanging="360" w:left="0" w:right="0"/>
        <w:jc w:val="both"/>
        <w:rPr>
          <w:rFonts w:ascii="Times New Roman" w:hAnsi="Times New Roman"/>
          <w:caps w:val="false"/>
          <w:smallCaps w:val="false"/>
          <w:szCs w:val="24"/>
          <w:lang w:val="ru-RU"/>
        </w:rPr>
      </w:pPr>
      <w:bookmarkStart w:id="18" w:name="_Toc79251819"/>
      <w:r>
        <w:rPr>
          <w:rFonts w:ascii="Times New Roman" w:hAnsi="Times New Roman"/>
          <w:caps w:val="false"/>
          <w:smallCaps w:val="false"/>
          <w:szCs w:val="24"/>
          <w:lang w:val="ru-RU"/>
        </w:rPr>
        <w:t>Перечень координат характерных точек границ</w:t>
      </w:r>
      <w:r>
        <w:rPr>
          <w:rFonts w:ascii="Times New Roman" w:hAnsi="Times New Roman"/>
          <w:caps w:val="false"/>
          <w:smallCaps w:val="false"/>
          <w:szCs w:val="24"/>
        </w:rPr>
        <w:t xml:space="preserve"> зон планируемого размещения линейных объектов</w:t>
      </w:r>
      <w:bookmarkEnd w:id="18"/>
      <w:r>
        <w:rPr>
          <w:rFonts w:ascii="Times New Roman" w:hAnsi="Times New Roman"/>
          <w:caps w:val="false"/>
          <w:smallCaps w:val="false"/>
          <w:szCs w:val="24"/>
          <w:lang w:val="ru-RU"/>
        </w:rPr>
        <w:t>, подлежащих реконструкции в связи с изменением их местоположения</w:t>
      </w:r>
    </w:p>
    <w:p>
      <w:pPr>
        <w:pStyle w:val="style0"/>
        <w:widowControl w:val="false"/>
        <w:shd w:fill="FFFFFF" w:val="clear"/>
        <w:tabs>
          <w:tab w:leader="none" w:pos="709" w:val="left"/>
        </w:tabs>
        <w:suppressAutoHyphens w:val="true"/>
        <w:spacing w:after="200" w:before="120" w:line="300" w:lineRule="auto"/>
        <w:ind w:firstLine="709" w:left="0" w:right="0"/>
        <w:contextualSpacing w:val="false"/>
        <w:jc w:val="both"/>
        <w:rPr>
          <w:rFonts w:ascii="Times New Roman" w:hAnsi="Times New Roman"/>
          <w:szCs w:val="24"/>
        </w:rPr>
      </w:pPr>
      <w:r>
        <w:rPr>
          <w:rFonts w:ascii="Times New Roman" w:eastAsia="Times New Roman" w:hAnsi="Times New Roman"/>
          <w:color w:val="000000"/>
          <w:szCs w:val="24"/>
          <w:lang w:eastAsia="ru-RU"/>
        </w:rPr>
        <w:t>Настоящим проектом не планируется размещение линейных объектов, подлежащих реконструкция в связи с изменением их местоположения</w:t>
      </w:r>
      <w:bookmarkStart w:id="19" w:name="_Toc79251820"/>
      <w:r>
        <w:rPr>
          <w:rFonts w:ascii="Times New Roman" w:hAnsi="Times New Roman"/>
          <w:szCs w:val="24"/>
        </w:rPr>
        <w:t>.</w:t>
      </w:r>
    </w:p>
    <w:p>
      <w:pPr>
        <w:pStyle w:val="style0"/>
        <w:widowControl w:val="false"/>
        <w:shd w:fill="FFFFFF" w:val="clear"/>
        <w:suppressAutoHyphens w:val="true"/>
        <w:spacing w:after="200" w:before="120" w:line="300" w:lineRule="auto"/>
        <w:contextualSpacing w:val="false"/>
        <w:jc w:val="both"/>
        <w:rPr>
          <w:rFonts w:ascii="Times New Roman" w:hAnsi="Times New Roman"/>
          <w:b/>
          <w:sz w:val="24"/>
          <w:szCs w:val="24"/>
        </w:rPr>
      </w:pPr>
      <w:bookmarkEnd w:id="19"/>
      <w:r>
        <w:rPr>
          <w:rFonts w:ascii="Times New Roman" w:hAnsi="Times New Roman"/>
          <w:b/>
          <w:sz w:val="24"/>
          <w:szCs w:val="24"/>
        </w:rPr>
        <w:t>ЧАСТЬ 4. КРАСНЫЕ ЛИНИИ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  <w:lang w:eastAsia="ru-RU"/>
        </w:rPr>
      </w:pPr>
      <w:r>
        <w:rPr>
          <w:rFonts w:ascii="Times New Roman" w:hAnsi="Times New Roman"/>
          <w:szCs w:val="24"/>
          <w:lang w:eastAsia="ru-RU"/>
        </w:rPr>
        <w:t>Красные линии – линии, которые обозначают границы территорий общего пользования и подлежат установлению, изменению или отмене в документации по планировке территории.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  <w:lang w:eastAsia="ru-RU"/>
        </w:rPr>
      </w:pPr>
      <w:r>
        <w:rPr>
          <w:rFonts w:ascii="Times New Roman" w:hAnsi="Times New Roman"/>
          <w:szCs w:val="24"/>
          <w:lang w:eastAsia="ru-RU"/>
        </w:rPr>
        <w:t>В проекте учтены существующие красные линии, установленные проектом планировки и проектом межевания территории городского поселения Коммунистический Советского района Ханты-Мансийского автономного округа, утвержденными постановлением администрации городского поселения Коммунистический Советского района Ханты-Мансийского автономного округа – Югры от 21 февраля 2020 № 34.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  <w:lang w:eastAsia="ru-RU"/>
        </w:rPr>
      </w:pPr>
      <w:bookmarkStart w:id="20" w:name="_Toc79251821"/>
      <w:bookmarkStart w:id="21" w:name="_Toc490485125"/>
      <w:r>
        <w:rPr>
          <w:rFonts w:ascii="Times New Roman" w:hAnsi="Times New Roman"/>
          <w:szCs w:val="24"/>
          <w:lang w:eastAsia="ru-RU"/>
        </w:rPr>
        <w:t>В настоящем проекте не предусматривается установление или изменение существующих красных линий.</w:t>
      </w:r>
    </w:p>
    <w:p>
      <w:pPr>
        <w:pStyle w:val="style0"/>
        <w:spacing w:line="300" w:lineRule="auto"/>
        <w:jc w:val="both"/>
        <w:rPr>
          <w:rFonts w:ascii="Times New Roman" w:hAnsi="Times New Roman"/>
          <w:b/>
          <w:sz w:val="24"/>
          <w:szCs w:val="24"/>
        </w:rPr>
      </w:pPr>
      <w:bookmarkEnd w:id="20"/>
      <w:bookmarkEnd w:id="21"/>
      <w:r>
        <w:rPr>
          <w:rFonts w:ascii="Times New Roman" w:hAnsi="Times New Roman"/>
          <w:b/>
          <w:sz w:val="24"/>
          <w:szCs w:val="24"/>
        </w:rPr>
        <w:t>ЧАСТЬ 5. ПРЕДЕЛЬНЫЕ ПАРАМЕТРЫ РАЗРЕШЕННОГО СТРОИТЕЛЬСТВА, РЕКОНСТРУКЦИИ ОБЪЕКТОВ КАПИТАЛЬНОГО СТРОИТЕЛЬСТВА, ВХОДЯЩИХ В СОСТАВ ЛИНЕЙНЫХ ОБЪЕКТОВ В ГРАНИЦАХ ЗОН ИХ ПЛАНИРУЕМОГО РАЗМЕЩЕНИЯ</w:t>
      </w:r>
    </w:p>
    <w:p>
      <w:pPr>
        <w:pStyle w:val="style0"/>
        <w:tabs>
          <w:tab w:leader="none" w:pos="709" w:val="left"/>
        </w:tabs>
        <w:spacing w:after="200" w:before="120" w:line="300" w:lineRule="auto"/>
        <w:ind w:firstLine="709" w:left="0" w:right="0"/>
        <w:contextualSpacing w:val="false"/>
        <w:jc w:val="both"/>
        <w:rPr>
          <w:rFonts w:ascii="Times New Roman" w:hAnsi="Times New Roman"/>
          <w:lang w:eastAsia="ru-RU"/>
        </w:rPr>
      </w:pPr>
      <w:r>
        <w:rPr>
          <w:rFonts w:ascii="Times New Roman" w:hAnsi="Times New Roman"/>
        </w:rPr>
        <w:t>Настоящим проектом не предусмотрено размещение объектов капитального строительства, входящих в состав линейных объектов в границах зон их планируемого размещения.</w:t>
      </w:r>
      <w:bookmarkStart w:id="22" w:name="_Toc79251822"/>
      <w:r>
        <w:rPr>
          <w:rFonts w:ascii="Times New Roman" w:hAnsi="Times New Roman"/>
          <w:lang w:eastAsia="ru-RU"/>
        </w:rPr>
        <w:t xml:space="preserve"> </w:t>
      </w:r>
    </w:p>
    <w:p>
      <w:pPr>
        <w:pStyle w:val="style0"/>
        <w:spacing w:after="200" w:before="120" w:line="300" w:lineRule="auto"/>
        <w:contextualSpacing w:val="false"/>
        <w:jc w:val="both"/>
        <w:rPr>
          <w:rFonts w:ascii="Times New Roman" w:hAnsi="Times New Roman"/>
          <w:b/>
          <w:sz w:val="24"/>
          <w:szCs w:val="24"/>
        </w:rPr>
      </w:pPr>
      <w:bookmarkEnd w:id="22"/>
      <w:r>
        <w:rPr>
          <w:rFonts w:ascii="Times New Roman" w:hAnsi="Times New Roman"/>
          <w:b/>
          <w:sz w:val="24"/>
          <w:szCs w:val="24"/>
        </w:rPr>
        <w:t>ЧАСТЬ 6. ИНФОРМАЦИЯ О НЕОБХОДИМОСТИ ОСУЩЕСТВЛЕНИЯ МЕРОПРИЯТИЙ ПО ЗАЩИТЕ СОХРАНЯЕМЫХ ОБЪЕКТОВ КАПИТАЛЬНОГО СТРОИТЕЛЬСТВА (ЗДАНИЕ, СТРОЕНИЕ, СООРУЖЕНИЕ, ОБЪЕКТЫ, СТРОИТЕЛЬСТВО КОТОРЫХ НЕ ЗАВЕРШЕНО), СУЩЕСТВУЮЩИХ И СТРОЯЩИХСЯ НА МОМЕНТ ПОДГОТОВКИ ПРОЕКТА ПЛАНИРОВКИ ТЕРРИТОРИИ, А ТАКЖЕ ОБЪЕКТОВ КАПИТАЛЬНОГО СТРОИТЕЛЬСТВА, ПЛАНИРУЕМЫХ К СТРОИТЕЛЬСТВУ В СООТВЕТСТВИИ С РАНЕЕ УТВЕРЖДЕННОЙ ДОКУМЕНТАЦИЕЙ ПО ПЛАНИРОВКЕ ТЕРРИТОРИИ, ОТ ВОЗМОЖНОГО НЕГАТИВНОГО ВОЗДЕЙСТВИЯ В СВЯЗИ С РАЗМЕЩЕНИЕМ ЛИНЕЙНЫХ ОБЪЕКТОВ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bookmarkStart w:id="23" w:name="_Toc79251823"/>
      <w:r>
        <w:rPr>
          <w:rFonts w:ascii="Times New Roman" w:hAnsi="Times New Roman"/>
          <w:szCs w:val="24"/>
        </w:rPr>
        <w:t>Размещаемый линейный объект не оказывает негативного воздействия на объекты капитального строительства (здания, строения, сооружения, объекты, строительство которых не завершено), существующие и строящиеся на момент подготовки Проекта, а также объекты капитального строительства, планируемые к строительству в соответствии с ранее утвержденной документацией по планировке территории, в связи с этим Проектом не предусматривается осуществление мероприятий по их защите.</w:t>
      </w:r>
    </w:p>
    <w:p>
      <w:pPr>
        <w:pStyle w:val="style0"/>
        <w:spacing w:line="300" w:lineRule="auto"/>
        <w:jc w:val="both"/>
        <w:rPr>
          <w:rFonts w:ascii="Times New Roman" w:hAnsi="Times New Roman"/>
          <w:b/>
          <w:sz w:val="24"/>
          <w:szCs w:val="24"/>
        </w:rPr>
      </w:pPr>
      <w:bookmarkEnd w:id="23"/>
      <w:r>
        <w:rPr>
          <w:rFonts w:ascii="Times New Roman" w:hAnsi="Times New Roman"/>
          <w:b/>
          <w:sz w:val="24"/>
          <w:szCs w:val="24"/>
        </w:rPr>
        <w:t>ЧАСТЬ 7. ИНФОРМАЦИЯ О НЕОБХОДИМОСТИ ОСУЩЕСТВЛЕНИЯ МЕРОПРИЯТИЙ ПО СОХРАНЕНИЮ ОБЪЕКТОВ КУЛЬТУРНОГО НАСЛЕДИЯ ОТ ВОЗМОЖНОГО НЕГАТИВНОГО ВОЗДЕЙСТВИЯ В СВЯЗИ С РАЗМЕЩЕНИЕМ ЛИНЕЙНЫХ ОБЪЕКТОВ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bookmarkStart w:id="24" w:name="_Toc79251824"/>
      <w:r>
        <w:rPr>
          <w:rFonts w:ascii="Times New Roman" w:hAnsi="Times New Roman"/>
          <w:szCs w:val="24"/>
        </w:rPr>
        <w:t>На территории проектирования отсутствуют объекты культурного наследия. В связи с этим Проектом не предусматриваются мероприятия по сохранению объектов культурного наследия от возможного негативного воздействия размещаемого линейного объекта.</w:t>
      </w:r>
    </w:p>
    <w:p>
      <w:pPr>
        <w:pStyle w:val="style0"/>
        <w:spacing w:line="300" w:lineRule="auto"/>
        <w:jc w:val="both"/>
        <w:rPr>
          <w:rFonts w:ascii="Times New Roman" w:hAnsi="Times New Roman"/>
          <w:b/>
          <w:sz w:val="24"/>
          <w:szCs w:val="24"/>
        </w:rPr>
      </w:pPr>
      <w:bookmarkEnd w:id="24"/>
      <w:r>
        <w:rPr>
          <w:rFonts w:ascii="Times New Roman" w:hAnsi="Times New Roman"/>
          <w:b/>
          <w:sz w:val="24"/>
          <w:szCs w:val="24"/>
        </w:rPr>
        <w:t>ЧАСТЬ 8. ИНФОРМАЦИЯ О НЕОБХОДИМОСТИ ОСУЩЕСТВЛЕНИЯ МЕРОПРИЯТИЙ ПО ОХРАНЕ ОКРУЖАЮЩЕЙ СРЕДЫ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cs="Calibri" w:hAnsi="Times New Roman"/>
        </w:rPr>
      </w:pPr>
      <w:r>
        <w:rPr>
          <w:rFonts w:ascii="Times New Roman" w:cs="Calibri" w:hAnsi="Times New Roman"/>
        </w:rPr>
        <w:t>Охрана окружающей среды в зоне размещения строительства должна осуществляться в соответствии с действующими нормативными правовыми актами по вопросам охраны окружающей природной среды и рациональному использованию природных ресурсов.</w:t>
      </w:r>
    </w:p>
    <w:p>
      <w:pPr>
        <w:pStyle w:val="style0"/>
        <w:tabs>
          <w:tab w:leader="none" w:pos="426" w:val="left"/>
        </w:tabs>
        <w:spacing w:line="300" w:lineRule="auto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 мероприятиям по охране окружающей среды при обращении с отходами в период строительства относятся:</w:t>
      </w:r>
    </w:p>
    <w:p>
      <w:pPr>
        <w:pStyle w:val="style0"/>
        <w:numPr>
          <w:ilvl w:val="0"/>
          <w:numId w:val="2"/>
        </w:numPr>
        <w:tabs>
          <w:tab w:leader="none" w:pos="426" w:val="left"/>
        </w:tabs>
        <w:spacing w:after="0" w:before="0" w:line="300" w:lineRule="auto"/>
        <w:ind w:hanging="360" w:left="0" w:right="0"/>
        <w:contextualSpacing w:val="false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централизованная поставка строительных материалов специализированным транспортом по мере необходимости;</w:t>
      </w:r>
    </w:p>
    <w:p>
      <w:pPr>
        <w:pStyle w:val="style0"/>
        <w:numPr>
          <w:ilvl w:val="0"/>
          <w:numId w:val="2"/>
        </w:numPr>
        <w:tabs>
          <w:tab w:leader="none" w:pos="426" w:val="left"/>
        </w:tabs>
        <w:spacing w:after="0" w:before="0" w:line="300" w:lineRule="auto"/>
        <w:ind w:hanging="360" w:left="0" w:right="0"/>
        <w:contextualSpacing w:val="false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применение специальных устройств для приема растворов и бетонных смесей;</w:t>
      </w:r>
    </w:p>
    <w:p>
      <w:pPr>
        <w:pStyle w:val="style0"/>
        <w:numPr>
          <w:ilvl w:val="0"/>
          <w:numId w:val="2"/>
        </w:numPr>
        <w:tabs>
          <w:tab w:leader="none" w:pos="426" w:val="left"/>
        </w:tabs>
        <w:spacing w:after="0" w:before="0" w:line="300" w:lineRule="auto"/>
        <w:ind w:hanging="360" w:left="0" w:right="0"/>
        <w:contextualSpacing w:val="false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использование при строительстве на всех видах работ технически исправных машин и механизмов с отрегулированной топливной арматурой, исключающей потери горюче-смазочных материалов и попадание горюче-смазочных материалов в грунт;</w:t>
      </w:r>
    </w:p>
    <w:p>
      <w:pPr>
        <w:pStyle w:val="style0"/>
        <w:numPr>
          <w:ilvl w:val="0"/>
          <w:numId w:val="2"/>
        </w:numPr>
        <w:tabs>
          <w:tab w:leader="none" w:pos="426" w:val="left"/>
        </w:tabs>
        <w:spacing w:after="0" w:before="0" w:line="300" w:lineRule="auto"/>
        <w:ind w:hanging="360" w:left="0" w:right="0"/>
        <w:contextualSpacing w:val="false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запрещение слива масел, окрасочных и горючих материалов на дорожные покрытия и рельеф;</w:t>
      </w:r>
    </w:p>
    <w:p>
      <w:pPr>
        <w:pStyle w:val="style0"/>
        <w:numPr>
          <w:ilvl w:val="0"/>
          <w:numId w:val="2"/>
        </w:numPr>
        <w:tabs>
          <w:tab w:leader="none" w:pos="426" w:val="left"/>
        </w:tabs>
        <w:spacing w:after="0" w:before="0" w:line="300" w:lineRule="auto"/>
        <w:ind w:hanging="360" w:left="0" w:right="0"/>
        <w:contextualSpacing w:val="false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запрещение сжигания образующегося строительного мусора;</w:t>
      </w:r>
    </w:p>
    <w:p>
      <w:pPr>
        <w:pStyle w:val="style0"/>
        <w:numPr>
          <w:ilvl w:val="0"/>
          <w:numId w:val="2"/>
        </w:numPr>
        <w:tabs>
          <w:tab w:leader="none" w:pos="426" w:val="left"/>
        </w:tabs>
        <w:spacing w:after="0" w:before="0" w:line="300" w:lineRule="auto"/>
        <w:ind w:hanging="360" w:left="0" w:right="0"/>
        <w:contextualSpacing w:val="false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организация и оборудование мест временного накопления отходов в соответствии с санитарными требованиями;</w:t>
      </w:r>
    </w:p>
    <w:p>
      <w:pPr>
        <w:pStyle w:val="style0"/>
        <w:numPr>
          <w:ilvl w:val="0"/>
          <w:numId w:val="2"/>
        </w:numPr>
        <w:tabs>
          <w:tab w:leader="none" w:pos="426" w:val="left"/>
        </w:tabs>
        <w:spacing w:after="0" w:before="0" w:line="300" w:lineRule="auto"/>
        <w:ind w:hanging="360" w:left="0" w:right="0"/>
        <w:contextualSpacing w:val="false"/>
        <w:jc w:val="both"/>
        <w:rPr>
          <w:rFonts w:ascii="Times New Roman" w:hAnsi="Times New Roman"/>
        </w:rPr>
      </w:pPr>
      <w:bookmarkStart w:id="25" w:name="_Toc79251825"/>
      <w:bookmarkStart w:id="26" w:name="_Toc491722345"/>
      <w:r>
        <w:rPr>
          <w:rFonts w:ascii="Times New Roman" w:hAnsi="Times New Roman"/>
        </w:rPr>
        <w:t>регулярная уборка территории строительства и вывоз образующихся отходов по договорам со специализированными организациями.</w:t>
      </w:r>
    </w:p>
    <w:p>
      <w:pPr>
        <w:pStyle w:val="style0"/>
        <w:numPr>
          <w:ilvl w:val="0"/>
          <w:numId w:val="2"/>
        </w:numPr>
        <w:tabs>
          <w:tab w:leader="none" w:pos="426" w:val="left"/>
        </w:tabs>
        <w:spacing w:after="0" w:before="0" w:line="300" w:lineRule="auto"/>
        <w:ind w:hanging="360" w:left="0" w:right="0"/>
        <w:contextualSpacing w:val="false"/>
        <w:jc w:val="both"/>
        <w:rPr/>
      </w:pPr>
      <w:r>
        <w:rPr/>
      </w:r>
    </w:p>
    <w:p>
      <w:pPr>
        <w:pStyle w:val="style0"/>
        <w:spacing w:after="0" w:before="0" w:line="300" w:lineRule="auto"/>
        <w:contextualSpacing w:val="false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ЧАСТЬ 9. </w:t>
      </w:r>
      <w:bookmarkEnd w:id="26"/>
      <w:bookmarkEnd w:id="25"/>
      <w:r>
        <w:rPr>
          <w:rFonts w:ascii="Times New Roman" w:hAnsi="Times New Roman"/>
          <w:b/>
          <w:sz w:val="24"/>
          <w:szCs w:val="24"/>
        </w:rPr>
        <w:t>ИНФОРМАЦИЯ О НЕОБХОДИМОСТИ ОСУЩЕСТВЛЕНИЯ МЕРОПРИЯТИЙ ПО ЗАЩИТЕ ТЕРРИТОРИИ ОТ ЧРЕЗВЫЧАЙНЫХ СИТУАЦИЙ ПРИРОДНОГО И ТЕХНОГЕННОГО ХАРАКТЕРА, В ТОМ ЧИСЛЕ ПО ОБЕСПЕЧЕНИЮ ПОЖАРНОЙ БЕЗОПАСНОСТИ И ГРАЖДАНСКОЙ ОБОРОНЕ</w:t>
      </w:r>
    </w:p>
    <w:p>
      <w:pPr>
        <w:pStyle w:val="style2"/>
        <w:rPr>
          <w:rFonts w:ascii="Times New Roman" w:hAnsi="Times New Roman"/>
          <w:caps w:val="false"/>
          <w:smallCaps w:val="false"/>
        </w:rPr>
      </w:pPr>
      <w:bookmarkStart w:id="27" w:name="_Toc518547236"/>
      <w:bookmarkStart w:id="28" w:name="_Toc403551000"/>
      <w:bookmarkStart w:id="29" w:name="_Toc79251826"/>
      <w:bookmarkEnd w:id="27"/>
      <w:bookmarkEnd w:id="28"/>
      <w:r>
        <w:rPr>
          <w:rFonts w:ascii="Times New Roman" w:hAnsi="Times New Roman"/>
          <w:lang w:val="ru-RU"/>
        </w:rPr>
        <w:t>9</w:t>
      </w:r>
      <w:r>
        <w:rPr>
          <w:rFonts w:ascii="Times New Roman" w:hAnsi="Times New Roman"/>
        </w:rPr>
        <w:t xml:space="preserve">.1 </w:t>
      </w:r>
      <w:r>
        <w:rPr>
          <w:rFonts w:ascii="Times New Roman" w:hAnsi="Times New Roman"/>
          <w:lang w:val="ru-RU"/>
        </w:rPr>
        <w:t>О</w:t>
      </w:r>
      <w:bookmarkEnd w:id="29"/>
      <w:r>
        <w:rPr>
          <w:rFonts w:ascii="Times New Roman" w:hAnsi="Times New Roman"/>
          <w:caps w:val="false"/>
          <w:smallCaps w:val="false"/>
        </w:rPr>
        <w:t>бщие сведения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Согласно ГОСТ Р 22.0.02-2016 «Безопасность в чрезвычайных ситуациях. Термины и определения основных понятий», чрезвычайная ситуация – это обстановка на определенной территории или акватории, сложившаяся в результате аварии, опасного природного явления, катастрофы, стихийного или иного бедствия, которые могут повлечь или повлекли за собой человеческие жертвы, ущерб здоровью людей или окружающей природной среде, значительные материальные потери и нарушение условий жизнедеятельности людей.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По характеру источника чрезвычайные ситуации разделяют на природные, техногенные, биолого-социальные и военные.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В соответствии с постановлением Правительства от 21.05.2007 № 304 «О классификации чрезвычайных ситуаций природного и техногенного характера» чрезвычайные ситуации природного и техногенного характера подразделяются по масштабу ущерба и количеству пострадавших на локальные, местные, территориальные, региональные, федеральные и трансграничные.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Указанная классификация не распространяется на чрезвычайные ситуации в лесах, возникшие вследствие лесных пожаров.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Источниками чрезвычайных ситуаций являются: опасное природное явление, авария или опасное техногенное происшествие, широко распространенная инфекционная болезнь, а также применение современных средств поражения, в результате чего произошла или может возникнуть чрезвычайная ситуация.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В соответствии с Федеральным законом от 21.12.1994 № 68-ФЗ «О защите населения и территорий от чрезвычайных ситуаций природного и техногенного характера» мероприятия, направленные на предупреждение чрезвычайных ситуаций, а также на максимально возможное снижение размеров ущерба и потерь в случае их возникновения, проводятся заблаговременно. Планирование и осуществление мероприятий по защите населения и территорий от чрезвычайных ситуаций проводятся с учетом экономических, природных и иных характеристик, особенностей территорий и степени реальной опасности возникновения чрезвычайных ситуаций.</w:t>
      </w:r>
    </w:p>
    <w:p>
      <w:pPr>
        <w:pStyle w:val="style2"/>
        <w:rPr>
          <w:rFonts w:ascii="Times New Roman" w:hAnsi="Times New Roman"/>
          <w:caps w:val="false"/>
          <w:smallCaps w:val="false"/>
          <w:lang w:val="ru-RU"/>
        </w:rPr>
      </w:pPr>
      <w:bookmarkStart w:id="30" w:name="_Toc79251827"/>
      <w:r>
        <w:rPr>
          <w:rFonts w:ascii="Times New Roman" w:hAnsi="Times New Roman"/>
          <w:lang w:val="ru-RU"/>
        </w:rPr>
        <w:t>9</w:t>
      </w:r>
      <w:r>
        <w:rPr>
          <w:rFonts w:ascii="Times New Roman" w:hAnsi="Times New Roman"/>
        </w:rPr>
        <w:t xml:space="preserve">.2 </w:t>
      </w:r>
      <w:r>
        <w:rPr>
          <w:rFonts w:ascii="Times New Roman" w:hAnsi="Times New Roman"/>
          <w:caps w:val="false"/>
          <w:smallCaps w:val="false"/>
          <w:lang w:val="ru-RU"/>
        </w:rPr>
        <w:t>П</w:t>
      </w:r>
      <w:r>
        <w:rPr>
          <w:rFonts w:ascii="Times New Roman" w:hAnsi="Times New Roman"/>
          <w:caps w:val="false"/>
          <w:smallCaps w:val="false"/>
        </w:rPr>
        <w:t>еречень возможных источников чрезвычайных ситуаций природного характера</w:t>
      </w:r>
      <w:bookmarkEnd w:id="30"/>
      <w:r>
        <w:rPr>
          <w:rFonts w:ascii="Times New Roman" w:hAnsi="Times New Roman"/>
          <w:caps w:val="false"/>
          <w:smallCaps w:val="false"/>
          <w:lang w:val="ru-RU"/>
        </w:rPr>
        <w:t xml:space="preserve"> и мероприятий по защите территории от чрезвычайных ситуаций природного характера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Чрезвычайные ситуации природного характера – обстановка на определенной территории или акватории, сложившаяся в результате возникновения источника природной чрезвычайной ситуации, который может повлечь или повлек за собой человеческие жертвы, ущерб здоровью и окружающей природной среде, значительные материальные потери и нарушение условий жизнедеятельности людей.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b/>
          <w:szCs w:val="24"/>
        </w:rPr>
        <w:t>Опасные геологические явления</w:t>
      </w:r>
      <w:r>
        <w:rPr>
          <w:rFonts w:ascii="Times New Roman" w:hAnsi="Times New Roman"/>
          <w:szCs w:val="24"/>
        </w:rPr>
        <w:t xml:space="preserve"> 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Опасные геологические явления – это событие геологического происхождения или результат деятельности геологических процессов, возникающих в земной коре под действием различных природных или геодинамических факторов или их сочетаний, оказывающих или могущих оказать поражающие воздействия на людей, сельскохозяйственных животных и растения, объекты экономики и окружающую природную среду.</w:t>
      </w:r>
    </w:p>
    <w:p>
      <w:pPr>
        <w:pStyle w:val="style0"/>
        <w:suppressAutoHyphens w:val="true"/>
        <w:ind w:firstLine="709" w:left="0" w:right="0"/>
        <w:jc w:val="both"/>
        <w:rPr>
          <w:rFonts w:ascii="Times New Roman" w:eastAsia="MS Mincho" w:hAnsi="Times New Roman"/>
          <w:szCs w:val="24"/>
          <w:lang w:eastAsia="ar-SA"/>
        </w:rPr>
      </w:pPr>
      <w:r>
        <w:rPr>
          <w:rFonts w:ascii="Times New Roman" w:eastAsia="MS Mincho" w:hAnsi="Times New Roman"/>
          <w:szCs w:val="24"/>
          <w:lang w:eastAsia="ar-SA"/>
        </w:rPr>
        <w:t xml:space="preserve">Опасные геологические процессы на территории городского поселения Коммунистический не отмечены. 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>Опасные гидрологические явления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color w:val="000000"/>
          <w:szCs w:val="24"/>
          <w:shd w:fill="FFFFFF" w:val="clear"/>
        </w:rPr>
      </w:pPr>
      <w:r>
        <w:rPr>
          <w:rFonts w:ascii="Times New Roman" w:hAnsi="Times New Roman"/>
          <w:szCs w:val="24"/>
        </w:rPr>
        <w:t xml:space="preserve">Опасные гидрологические явления </w:t>
      </w:r>
      <w:r>
        <w:rPr>
          <w:rFonts w:ascii="Times New Roman" w:hAnsi="Times New Roman"/>
          <w:b/>
          <w:szCs w:val="24"/>
        </w:rPr>
        <w:t xml:space="preserve">– </w:t>
      </w:r>
      <w:r>
        <w:rPr>
          <w:rFonts w:ascii="Times New Roman" w:hAnsi="Times New Roman"/>
          <w:color w:val="000000"/>
          <w:szCs w:val="24"/>
          <w:shd w:fill="FFFFFF" w:val="clear"/>
        </w:rPr>
        <w:t>событие гидрологического происхождения или результат гидрологических процессов, возникающих под действием различных природных или гидродинамических факторов или их сочетаний, оказывающие поражающее воздействие на людей, сельскохозяйственных животных и растения, объекты экономики и окружающую среду (затопление, подтопление и др.).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eastAsia="MS Mincho" w:hAnsi="Times New Roman"/>
          <w:szCs w:val="24"/>
          <w:lang w:eastAsia="ar-SA"/>
        </w:rPr>
      </w:pPr>
      <w:r>
        <w:rPr>
          <w:rFonts w:ascii="Times New Roman" w:eastAsia="MS Mincho" w:hAnsi="Times New Roman"/>
          <w:szCs w:val="24"/>
          <w:lang w:eastAsia="ar-SA"/>
        </w:rPr>
        <w:t>Опасные гидрологические явления и процессы на территории городского поселения Коммунистический не отмечены.</w:t>
      </w:r>
    </w:p>
    <w:p>
      <w:pPr>
        <w:pStyle w:val="style0"/>
        <w:suppressAutoHyphens w:val="true"/>
        <w:ind w:firstLine="709" w:left="0" w:right="0"/>
        <w:jc w:val="both"/>
        <w:rPr>
          <w:rFonts w:ascii="Times New Roman" w:eastAsia="MS Mincho" w:hAnsi="Times New Roman"/>
          <w:szCs w:val="24"/>
          <w:lang w:eastAsia="ar-SA"/>
        </w:rPr>
      </w:pPr>
      <w:r>
        <w:rPr>
          <w:rFonts w:ascii="Times New Roman" w:eastAsia="MS Mincho" w:hAnsi="Times New Roman"/>
          <w:szCs w:val="24"/>
          <w:lang w:eastAsia="ar-SA"/>
        </w:rPr>
        <w:t>Риски возникновения чрезвычайных ситуаций, связанных с затоплениями и подтоплениями, на территории проектирования не прогнозируются в связи с отсутствуем крупных водных объектов на территории городского поселения Коммунистический.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b/>
          <w:szCs w:val="24"/>
        </w:rPr>
        <w:t>Опасные метеорологические явления</w:t>
      </w:r>
      <w:r>
        <w:rPr>
          <w:rFonts w:ascii="Times New Roman" w:hAnsi="Times New Roman"/>
          <w:szCs w:val="24"/>
        </w:rPr>
        <w:t xml:space="preserve"> 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Опасные метеорологические явления – природные процессы и явления, возникающие в атмосфере под воздействием различных природных факторов или их сочетаний, оказывающие или могущие оказать поражающее воздействие на людей, объекты экономики и окружающую среду.</w:t>
      </w:r>
    </w:p>
    <w:p>
      <w:pPr>
        <w:pStyle w:val="style0"/>
        <w:suppressAutoHyphens w:val="true"/>
        <w:ind w:firstLine="709" w:left="0" w:right="0"/>
        <w:jc w:val="both"/>
        <w:rPr>
          <w:rFonts w:ascii="Times New Roman" w:eastAsia="MS Mincho" w:hAnsi="Times New Roman"/>
          <w:szCs w:val="24"/>
          <w:lang w:eastAsia="ar-SA"/>
        </w:rPr>
      </w:pPr>
      <w:r>
        <w:rPr>
          <w:rFonts w:ascii="Times New Roman" w:eastAsia="MS Mincho" w:hAnsi="Times New Roman"/>
          <w:szCs w:val="24"/>
          <w:lang w:eastAsia="ar-SA"/>
        </w:rPr>
        <w:t xml:space="preserve">Вся территории городского поселения Коммунистический подвержена следующим стихийным метеорологическим явлениям: </w:t>
      </w:r>
    </w:p>
    <w:p>
      <w:pPr>
        <w:pStyle w:val="style127"/>
        <w:numPr>
          <w:ilvl w:val="0"/>
          <w:numId w:val="4"/>
        </w:numPr>
        <w:suppressAutoHyphens w:val="true"/>
        <w:spacing w:after="0" w:before="0"/>
        <w:ind w:hanging="360" w:left="0" w:right="0"/>
        <w:contextualSpacing/>
        <w:rPr>
          <w:rFonts w:ascii="Times New Roman" w:eastAsia="MS Mincho" w:hAnsi="Times New Roman"/>
          <w:szCs w:val="24"/>
          <w:lang w:eastAsia="ar-SA"/>
        </w:rPr>
      </w:pPr>
      <w:r>
        <w:rPr>
          <w:rFonts w:ascii="Times New Roman" w:eastAsia="MS Mincho" w:hAnsi="Times New Roman"/>
          <w:szCs w:val="24"/>
          <w:lang w:eastAsia="ar-SA"/>
        </w:rPr>
        <w:t xml:space="preserve">шквалистые ураганные ветры со скоростью ветра 28 – 33 м/с; </w:t>
      </w:r>
    </w:p>
    <w:p>
      <w:pPr>
        <w:pStyle w:val="style127"/>
        <w:numPr>
          <w:ilvl w:val="0"/>
          <w:numId w:val="4"/>
        </w:numPr>
        <w:suppressAutoHyphens w:val="true"/>
        <w:spacing w:after="0" w:before="0"/>
        <w:ind w:hanging="360" w:left="0" w:right="0"/>
        <w:contextualSpacing/>
        <w:rPr>
          <w:rFonts w:ascii="Times New Roman" w:eastAsia="MS Mincho" w:hAnsi="Times New Roman"/>
          <w:szCs w:val="24"/>
          <w:lang w:eastAsia="ar-SA"/>
        </w:rPr>
      </w:pPr>
      <w:r>
        <w:rPr>
          <w:rFonts w:ascii="Times New Roman" w:eastAsia="MS Mincho" w:hAnsi="Times New Roman"/>
          <w:szCs w:val="24"/>
          <w:lang w:eastAsia="ar-SA"/>
        </w:rPr>
        <w:t xml:space="preserve">сильный ветер со скоростью более 20 м/с и метель; </w:t>
      </w:r>
    </w:p>
    <w:p>
      <w:pPr>
        <w:pStyle w:val="style127"/>
        <w:numPr>
          <w:ilvl w:val="0"/>
          <w:numId w:val="4"/>
        </w:numPr>
        <w:suppressAutoHyphens w:val="true"/>
        <w:spacing w:after="0" w:before="0"/>
        <w:ind w:hanging="360" w:left="0" w:right="0"/>
        <w:contextualSpacing/>
        <w:rPr>
          <w:rFonts w:ascii="Times New Roman" w:eastAsia="MS Mincho" w:hAnsi="Times New Roman"/>
          <w:szCs w:val="24"/>
          <w:lang w:eastAsia="ar-SA"/>
        </w:rPr>
      </w:pPr>
      <w:r>
        <w:rPr>
          <w:rFonts w:ascii="Times New Roman" w:eastAsia="MS Mincho" w:hAnsi="Times New Roman"/>
          <w:szCs w:val="24"/>
          <w:lang w:eastAsia="ar-SA"/>
        </w:rPr>
        <w:t>сильные морозы</w:t>
      </w:r>
      <w:r>
        <w:rPr>
          <w:rFonts w:ascii="Times New Roman" w:hAnsi="Times New Roman"/>
        </w:rPr>
        <w:t xml:space="preserve"> (г</w:t>
      </w:r>
      <w:r>
        <w:rPr>
          <w:rFonts w:ascii="Times New Roman" w:eastAsia="MS Mincho" w:hAnsi="Times New Roman"/>
          <w:szCs w:val="24"/>
          <w:lang w:eastAsia="ar-SA"/>
        </w:rPr>
        <w:t>одовая амплитуда колебания температуры воздуха составляет 37°С, абсолютный минимум – -52,4°С, абсолютный максимум – 38,3°С);</w:t>
      </w:r>
    </w:p>
    <w:p>
      <w:pPr>
        <w:pStyle w:val="style127"/>
        <w:numPr>
          <w:ilvl w:val="0"/>
          <w:numId w:val="4"/>
        </w:numPr>
        <w:suppressAutoHyphens w:val="true"/>
        <w:spacing w:after="0" w:before="0"/>
        <w:ind w:hanging="360" w:left="0" w:right="0"/>
        <w:contextualSpacing/>
        <w:rPr>
          <w:rFonts w:ascii="Times New Roman" w:eastAsia="MS Mincho" w:hAnsi="Times New Roman"/>
          <w:szCs w:val="24"/>
          <w:lang w:eastAsia="ar-SA"/>
        </w:rPr>
      </w:pPr>
      <w:r>
        <w:rPr>
          <w:rFonts w:ascii="Times New Roman" w:eastAsia="MS Mincho" w:hAnsi="Times New Roman"/>
          <w:szCs w:val="24"/>
          <w:lang w:eastAsia="ar-SA"/>
        </w:rPr>
        <w:t>снегопады, обледенение, гололед.</w:t>
      </w:r>
    </w:p>
    <w:p>
      <w:pPr>
        <w:pStyle w:val="style0"/>
        <w:suppressAutoHyphens w:val="true"/>
        <w:ind w:firstLine="709" w:left="0" w:right="0"/>
        <w:jc w:val="both"/>
        <w:rPr>
          <w:rFonts w:ascii="Times New Roman" w:eastAsia="MS Mincho" w:hAnsi="Times New Roman"/>
          <w:szCs w:val="24"/>
          <w:lang w:eastAsia="ar-SA"/>
        </w:rPr>
      </w:pPr>
      <w:r>
        <w:rPr>
          <w:rFonts w:ascii="Times New Roman" w:eastAsia="MS Mincho" w:hAnsi="Times New Roman"/>
          <w:szCs w:val="24"/>
          <w:lang w:eastAsia="ar-SA"/>
        </w:rPr>
        <w:t>Причиной чрезвычайных ситуаций, возникших вследствие опасных природных процессов и явлений могут стать: нарушение функционирования объектов жизнеобеспечения, повреждение (обрыв) линий электропередачи, обрушение слабо-укрепленных конструкций,  увеличение дорожно-транспортных происшествий на трассах, затруднения в работе транспорта и ограничениями при проведении аварийно-спасательных работ, а так же нарушение нормальной жизнедеятельности среди проживающего, работающего и отдыхающего на территории поселения населения.</w:t>
      </w:r>
    </w:p>
    <w:p>
      <w:pPr>
        <w:pStyle w:val="style0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Для минимизации ущерба, причиняемого неблагоприятными метеорологическими явлениями, определены следующие организационные мероприятия:</w:t>
      </w:r>
    </w:p>
    <w:p>
      <w:pPr>
        <w:pStyle w:val="style0"/>
        <w:numPr>
          <w:ilvl w:val="0"/>
          <w:numId w:val="11"/>
        </w:numPr>
        <w:spacing w:after="0" w:before="0"/>
        <w:ind w:hanging="360" w:left="0" w:right="0"/>
        <w:contextualSpacing w:val="false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организация круглосуточного дежурства на узлах связи, приведение в готовность средств оповещения населения, информирование населения о действиях во время чрезвычайных ситуаций;</w:t>
      </w:r>
    </w:p>
    <w:p>
      <w:pPr>
        <w:pStyle w:val="style0"/>
        <w:numPr>
          <w:ilvl w:val="0"/>
          <w:numId w:val="11"/>
        </w:numPr>
        <w:spacing w:after="0" w:before="0"/>
        <w:ind w:hanging="360" w:left="0" w:right="0"/>
        <w:contextualSpacing w:val="false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контроль за состоянием и своевременное восстановление деятельности жизнеобеспечивающих объектов энерго-, тепло- и водоснабжения, инженерных коммуникаций, линий электропередачи, связи;</w:t>
      </w:r>
    </w:p>
    <w:p>
      <w:pPr>
        <w:pStyle w:val="style0"/>
        <w:numPr>
          <w:ilvl w:val="0"/>
          <w:numId w:val="11"/>
        </w:numPr>
        <w:spacing w:after="0" w:before="0"/>
        <w:ind w:hanging="360" w:left="0" w:right="0"/>
        <w:contextualSpacing w:val="false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обеспечение нормативного функционирования транспортных путей: организация метелезащиты и ветрозащиты путей сообщения и наземных инженерно-коммуникационных систем от ветров, подсыпка песка на проезжей части для предотвращения дорожно-транспортных происшествий, происходящих вследствие гололеда, своевременная организация контроля над транспортными потоками.</w:t>
      </w:r>
    </w:p>
    <w:p>
      <w:pPr>
        <w:pStyle w:val="style0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При угрозе снежных заносов для смягчения последствий опасных природных явлений необходимо применять следующие предупредительные меры:</w:t>
      </w:r>
    </w:p>
    <w:p>
      <w:pPr>
        <w:pStyle w:val="style0"/>
        <w:numPr>
          <w:ilvl w:val="0"/>
          <w:numId w:val="11"/>
        </w:numPr>
        <w:spacing w:after="0" w:before="0"/>
        <w:ind w:hanging="360" w:left="0" w:right="0"/>
        <w:contextualSpacing w:val="false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приведение в готовность снегоуборочной техники и соответствующих служб по своевременной очистке дорог, вывозу снега;</w:t>
      </w:r>
    </w:p>
    <w:p>
      <w:pPr>
        <w:pStyle w:val="style0"/>
        <w:numPr>
          <w:ilvl w:val="0"/>
          <w:numId w:val="11"/>
        </w:numPr>
        <w:spacing w:after="0" w:before="0"/>
        <w:ind w:hanging="360" w:left="0" w:right="0"/>
        <w:contextualSpacing w:val="false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создание резерва топлива для техники по уборке снега и перевозке аварийных бригад;</w:t>
      </w:r>
    </w:p>
    <w:p>
      <w:pPr>
        <w:pStyle w:val="style0"/>
        <w:numPr>
          <w:ilvl w:val="0"/>
          <w:numId w:val="11"/>
        </w:numPr>
        <w:spacing w:after="0" w:before="0"/>
        <w:ind w:hanging="360" w:left="0" w:right="0"/>
        <w:contextualSpacing w:val="false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своевременное информирование населения об ухудшении метеорологического состояния.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>Природные пожары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Природные пожары – это пожары, которые происходят в условиях окружающей природной среды. 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eastAsia="MS Mincho" w:hAnsi="Times New Roman"/>
          <w:szCs w:val="24"/>
          <w:lang w:eastAsia="ar-SA"/>
        </w:rPr>
      </w:pPr>
      <w:r>
        <w:rPr>
          <w:rFonts w:ascii="Times New Roman" w:eastAsia="MS Mincho" w:hAnsi="Times New Roman"/>
          <w:szCs w:val="24"/>
          <w:lang w:eastAsia="ar-SA"/>
        </w:rPr>
        <w:t>Территория проектирования примыкает к землям, занятым лесом.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eastAsia="MS Mincho" w:hAnsi="Times New Roman"/>
          <w:szCs w:val="24"/>
          <w:lang w:eastAsia="ar-SA"/>
        </w:rPr>
      </w:pPr>
      <w:r>
        <w:rPr>
          <w:rFonts w:ascii="Times New Roman" w:eastAsia="MS Mincho" w:hAnsi="Times New Roman"/>
          <w:szCs w:val="24"/>
          <w:lang w:eastAsia="ar-SA"/>
        </w:rPr>
        <w:t xml:space="preserve">На территории занятой лесом существует вероятность природных пожаров, которая в засушливые годы возрастает. 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eastAsia="MS Mincho" w:hAnsi="Times New Roman"/>
          <w:szCs w:val="24"/>
          <w:lang w:eastAsia="ar-SA"/>
        </w:rPr>
      </w:pPr>
      <w:r>
        <w:rPr>
          <w:rFonts w:ascii="Times New Roman" w:eastAsia="MS Mincho" w:hAnsi="Times New Roman"/>
          <w:szCs w:val="24"/>
          <w:lang w:eastAsia="ar-SA"/>
        </w:rPr>
        <w:t>Доля природных пожаров от молний составляет не более 2 % от общего количества, причиной лесных пожаров является, в основном, неосторожное обращение с огнем населения в местах работы, отдыха, сбора ягод и грибов.</w:t>
      </w:r>
    </w:p>
    <w:p>
      <w:pPr>
        <w:pStyle w:val="style0"/>
        <w:ind w:firstLine="709" w:left="0" w:right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Основными причинами возникновения лесных пожаров являются:</w:t>
      </w:r>
    </w:p>
    <w:p>
      <w:pPr>
        <w:pStyle w:val="style0"/>
        <w:numPr>
          <w:ilvl w:val="0"/>
          <w:numId w:val="11"/>
        </w:numPr>
        <w:spacing w:after="0" w:before="0"/>
        <w:ind w:hanging="360" w:left="0" w:right="0"/>
        <w:contextualSpacing w:val="false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неосторожное обращение с огнем туристов, охотников, рыбаков, грибников и других лиц при посещении лесов (костер, непогашенный окурок, не затушенная спичка, искры из глушителя автомобиля и так далее);</w:t>
      </w:r>
    </w:p>
    <w:p>
      <w:pPr>
        <w:pStyle w:val="style0"/>
        <w:numPr>
          <w:ilvl w:val="0"/>
          <w:numId w:val="11"/>
        </w:numPr>
        <w:spacing w:after="0" w:before="0"/>
        <w:ind w:hanging="360" w:left="0" w:right="0"/>
        <w:contextualSpacing w:val="false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весенние и осенние неконтролируемые выжигание сухой травы; </w:t>
      </w:r>
    </w:p>
    <w:p>
      <w:pPr>
        <w:pStyle w:val="style0"/>
        <w:numPr>
          <w:ilvl w:val="0"/>
          <w:numId w:val="11"/>
        </w:numPr>
        <w:spacing w:after="0" w:before="0" w:line="300" w:lineRule="auto"/>
        <w:ind w:hanging="360" w:left="0" w:right="0"/>
        <w:contextualSpacing w:val="false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грозовые разряды.</w:t>
      </w:r>
    </w:p>
    <w:p>
      <w:pPr>
        <w:pStyle w:val="style0"/>
        <w:ind w:firstLine="709" w:left="0" w:right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Превентивные мероприятия, проводимые органами местного самоуправления:</w:t>
      </w:r>
    </w:p>
    <w:p>
      <w:pPr>
        <w:pStyle w:val="style0"/>
        <w:numPr>
          <w:ilvl w:val="0"/>
          <w:numId w:val="12"/>
        </w:numPr>
        <w:spacing w:after="0" w:before="0"/>
        <w:ind w:hanging="360" w:left="0" w:right="0"/>
        <w:contextualSpacing w:val="false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восстанавливаются и содержатся в исправном состоянии источники противопожарного водоснабжения, в зимнее время расчищаются дороги, подъезды к источникам водоснабжения;  </w:t>
      </w:r>
    </w:p>
    <w:p>
      <w:pPr>
        <w:pStyle w:val="style0"/>
        <w:numPr>
          <w:ilvl w:val="0"/>
          <w:numId w:val="12"/>
        </w:numPr>
        <w:spacing w:after="0" w:before="0"/>
        <w:ind w:hanging="360" w:left="0" w:right="0"/>
        <w:contextualSpacing w:val="false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в летний период производится выкос травы перед домами, производится разборка ветхих и заброшенных строений;</w:t>
      </w:r>
    </w:p>
    <w:p>
      <w:pPr>
        <w:pStyle w:val="style0"/>
        <w:numPr>
          <w:ilvl w:val="0"/>
          <w:numId w:val="12"/>
        </w:numPr>
        <w:spacing w:after="0" w:before="0"/>
        <w:ind w:hanging="360" w:left="0" w:right="0"/>
        <w:contextualSpacing w:val="false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обустройство защитных противопожарных полос (минерализованной и заградительной).</w:t>
      </w:r>
    </w:p>
    <w:p>
      <w:pPr>
        <w:pStyle w:val="style0"/>
        <w:shd w:fill="FFFFFF" w:val="clear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настоящее время на территории поселения располагается пожарное депо на 2 выезда, находящееся по адресу: пгт. Коммунистический, ул. Матросова 2а, имеющая в своем составе 4 единицы техники (1-АПП, 2-Урал 5557, 1-Краз 255), личный состав 23 человека. Здание находится в ветхом состоянии.</w:t>
      </w:r>
    </w:p>
    <w:p>
      <w:pPr>
        <w:pStyle w:val="style0"/>
        <w:shd w:fill="FFFFFF" w:val="clear"/>
        <w:ind w:firstLine="709" w:left="0" w:right="0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 xml:space="preserve">Для тушения лесных пожаров привлекаются силы и средства ГПС МЧС РФ (45 чел. и 8 единиц техники), БУ «Центроспас-Югория» (5 чел. и 1 единица техники), Авиалесохрана (75 чел. и 6 единиц техники), другие ведомства (100 чел. и 24 единицы техники). </w:t>
      </w:r>
    </w:p>
    <w:p>
      <w:pPr>
        <w:pStyle w:val="style0"/>
        <w:shd w:fill="FFFFFF" w:val="clear"/>
        <w:ind w:firstLine="709" w:left="0" w:right="0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Лесопатрулирование осуществляется Советским филиалом БУ ХМАО-Югры Базы авиационной и наземной охраны лесов.</w:t>
      </w:r>
    </w:p>
    <w:p>
      <w:pPr>
        <w:pStyle w:val="style2"/>
        <w:rPr>
          <w:rFonts w:ascii="Times New Roman" w:hAnsi="Times New Roman"/>
          <w:caps w:val="false"/>
          <w:smallCaps w:val="false"/>
          <w:lang w:val="ru-RU"/>
        </w:rPr>
      </w:pPr>
      <w:bookmarkStart w:id="31" w:name="_Toc79251828"/>
      <w:r>
        <w:rPr>
          <w:rFonts w:ascii="Times New Roman" w:hAnsi="Times New Roman"/>
          <w:lang w:val="ru-RU"/>
        </w:rPr>
        <w:t>9</w:t>
      </w:r>
      <w:r>
        <w:rPr>
          <w:rFonts w:ascii="Times New Roman" w:hAnsi="Times New Roman"/>
        </w:rPr>
        <w:t xml:space="preserve">.3 </w:t>
      </w:r>
      <w:r>
        <w:rPr>
          <w:rFonts w:ascii="Times New Roman" w:hAnsi="Times New Roman"/>
          <w:caps w:val="false"/>
          <w:smallCaps w:val="false"/>
          <w:lang w:val="ru-RU"/>
        </w:rPr>
        <w:t>П</w:t>
      </w:r>
      <w:r>
        <w:rPr>
          <w:rFonts w:ascii="Times New Roman" w:hAnsi="Times New Roman"/>
          <w:caps w:val="false"/>
          <w:smallCaps w:val="false"/>
        </w:rPr>
        <w:t>еречень возможных источников чрезвычайных ситуаций техногенного характера</w:t>
      </w:r>
      <w:bookmarkEnd w:id="31"/>
      <w:r>
        <w:rPr>
          <w:rFonts w:ascii="Times New Roman" w:hAnsi="Times New Roman"/>
          <w:caps w:val="false"/>
          <w:smallCaps w:val="false"/>
          <w:lang w:val="ru-RU"/>
        </w:rPr>
        <w:t xml:space="preserve"> и мероприятий по защите территории от чрезвычайных ситуаций природного характера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Чрезвычайные ситуации техногенного характера – состояние, при котором в результате возникновения источника техногенной чрезвычайной ситуации на объекте, определенной территории или акватории нарушаются нормальные условия жизни и деятельности людей возникает угроза их жизни и здоровью, наносится ущерб имуществу населения, народному хозяйству и окружающей природной среде. К опасным техногенным происшествиям относят аварии на промышленных объектах или на транспорте, пожары, взрывы или высвобождение различных видов энергии.</w:t>
      </w:r>
    </w:p>
    <w:p>
      <w:pPr>
        <w:pStyle w:val="style0"/>
        <w:spacing w:line="300" w:lineRule="auto"/>
        <w:ind w:firstLine="709" w:left="0" w:right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Основными причинами возникновения техногенных опасностей являются:</w:t>
      </w:r>
    </w:p>
    <w:p>
      <w:pPr>
        <w:pStyle w:val="style0"/>
        <w:numPr>
          <w:ilvl w:val="0"/>
          <w:numId w:val="5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нерациональное размещение потенциально опасных объектов производственного назначения и объектов хозяйственной и социальной инфраструктуры;</w:t>
      </w:r>
    </w:p>
    <w:p>
      <w:pPr>
        <w:pStyle w:val="style0"/>
        <w:numPr>
          <w:ilvl w:val="0"/>
          <w:numId w:val="5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технологическая отсталость производства, низкие темпы внедрения ресурсо-, энергосберегающих и других технически совершенных и безопасных технологий;</w:t>
      </w:r>
    </w:p>
    <w:p>
      <w:pPr>
        <w:pStyle w:val="style0"/>
        <w:numPr>
          <w:ilvl w:val="0"/>
          <w:numId w:val="5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износ средств производства, достигающий в ряде случаев предаварийного уровня;</w:t>
      </w:r>
    </w:p>
    <w:p>
      <w:pPr>
        <w:pStyle w:val="style0"/>
        <w:numPr>
          <w:ilvl w:val="0"/>
          <w:numId w:val="5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снижение профессионального уровня работников;</w:t>
      </w:r>
    </w:p>
    <w:p>
      <w:pPr>
        <w:pStyle w:val="style0"/>
        <w:numPr>
          <w:ilvl w:val="0"/>
          <w:numId w:val="5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низкая ответственность должностных лиц, снижение уровня производственной и технологической дисциплины;</w:t>
      </w:r>
    </w:p>
    <w:p>
      <w:pPr>
        <w:pStyle w:val="style0"/>
        <w:numPr>
          <w:ilvl w:val="0"/>
          <w:numId w:val="5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 xml:space="preserve">недостаточность контроля над состоянием потенциально опасных объектов; </w:t>
      </w:r>
    </w:p>
    <w:p>
      <w:pPr>
        <w:pStyle w:val="style0"/>
        <w:numPr>
          <w:ilvl w:val="0"/>
          <w:numId w:val="5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ненадежность системы контроля за опасными или вредными факторами;</w:t>
      </w:r>
    </w:p>
    <w:p>
      <w:pPr>
        <w:pStyle w:val="style0"/>
        <w:numPr>
          <w:ilvl w:val="0"/>
          <w:numId w:val="5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снижение уровня техники безопасности на производстве, транспорте, в энергетике.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В зависимости от вида производства, аварии и катастрофы на промышленных объектах и транспорте могут сопровождаться взрывами, выходом опасных химических веществ, выбросом радиоактивных веществ, возникновением пожаров.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В зависимости от масштаба, чрезвычайные происшествия делятся на аварии, при которых наблюдаются разрушения технических систем, сооружений, транспортных средств, но нет человеческих жертв, и катастрофы, при которых наблюдается не только разрушение материальных ценностей, но и гибель людей. 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Поражающие факторы источников техногенных чрезвычайных ситуаций классифицируют по генезису (происхождению) и механизму воздействия и подразделяются: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По генезису:</w:t>
      </w:r>
    </w:p>
    <w:p>
      <w:pPr>
        <w:pStyle w:val="style0"/>
        <w:numPr>
          <w:ilvl w:val="0"/>
          <w:numId w:val="6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прямого действия или первичные;</w:t>
      </w:r>
    </w:p>
    <w:p>
      <w:pPr>
        <w:pStyle w:val="style0"/>
        <w:numPr>
          <w:ilvl w:val="0"/>
          <w:numId w:val="6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побочного действия или вторичные.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По механизму:</w:t>
      </w:r>
    </w:p>
    <w:p>
      <w:pPr>
        <w:pStyle w:val="style0"/>
        <w:numPr>
          <w:ilvl w:val="0"/>
          <w:numId w:val="6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физического действия;</w:t>
      </w:r>
    </w:p>
    <w:p>
      <w:pPr>
        <w:pStyle w:val="style0"/>
        <w:numPr>
          <w:ilvl w:val="0"/>
          <w:numId w:val="6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химического действия.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Первичные поражающие факторы непосредственно вызываются возникновением источника техногенной чрезвычайной ситуации. Вторичные поражающие факторы вызываются изменением объектов окружающей среды первичными поражающими факторами.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К поражающим факторам физического действия относят:</w:t>
      </w:r>
    </w:p>
    <w:p>
      <w:pPr>
        <w:pStyle w:val="style0"/>
        <w:numPr>
          <w:ilvl w:val="0"/>
          <w:numId w:val="7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воздушную ударную волну;</w:t>
      </w:r>
    </w:p>
    <w:p>
      <w:pPr>
        <w:pStyle w:val="style0"/>
        <w:numPr>
          <w:ilvl w:val="0"/>
          <w:numId w:val="7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волну сжатия в грунте;</w:t>
      </w:r>
    </w:p>
    <w:p>
      <w:pPr>
        <w:pStyle w:val="style0"/>
        <w:numPr>
          <w:ilvl w:val="0"/>
          <w:numId w:val="7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сейсмовзрывную волну;</w:t>
      </w:r>
    </w:p>
    <w:p>
      <w:pPr>
        <w:pStyle w:val="style0"/>
        <w:numPr>
          <w:ilvl w:val="0"/>
          <w:numId w:val="7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обломки или осколки;</w:t>
      </w:r>
    </w:p>
    <w:p>
      <w:pPr>
        <w:pStyle w:val="style0"/>
        <w:numPr>
          <w:ilvl w:val="0"/>
          <w:numId w:val="7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экстремальный нагрев среды;</w:t>
      </w:r>
    </w:p>
    <w:p>
      <w:pPr>
        <w:pStyle w:val="style0"/>
        <w:numPr>
          <w:ilvl w:val="0"/>
          <w:numId w:val="7"/>
        </w:numPr>
        <w:tabs>
          <w:tab w:leader="none" w:pos="709" w:val="left"/>
        </w:tabs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тепловое излучение.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К поражающим факторам химического действия относят токсическое действие опасных химических веществ.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 территории проектирования возможны следующие чрезвычайные ситуации техногенного характера:</w:t>
      </w:r>
    </w:p>
    <w:p>
      <w:pPr>
        <w:pStyle w:val="style0"/>
        <w:numPr>
          <w:ilvl w:val="0"/>
          <w:numId w:val="8"/>
        </w:numPr>
        <w:tabs>
          <w:tab w:leader="none" w:pos="720" w:val="left"/>
        </w:tabs>
        <w:spacing w:after="0" w:before="0"/>
        <w:ind w:hanging="283" w:left="709" w:right="0"/>
        <w:contextualSpacing w:val="false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аварии на автомобильных дорогах;</w:t>
      </w:r>
    </w:p>
    <w:p>
      <w:pPr>
        <w:pStyle w:val="style0"/>
        <w:numPr>
          <w:ilvl w:val="0"/>
          <w:numId w:val="8"/>
        </w:numPr>
        <w:tabs>
          <w:tab w:leader="none" w:pos="720" w:val="left"/>
        </w:tabs>
        <w:spacing w:after="0" w:before="0"/>
        <w:ind w:hanging="283" w:left="709" w:right="0"/>
        <w:contextualSpacing w:val="false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аварии на коммуникациях и технологическом оборудовании инженерных объектов;</w:t>
      </w:r>
    </w:p>
    <w:p>
      <w:pPr>
        <w:pStyle w:val="style0"/>
        <w:numPr>
          <w:ilvl w:val="0"/>
          <w:numId w:val="8"/>
        </w:numPr>
        <w:tabs>
          <w:tab w:leader="none" w:pos="720" w:val="left"/>
        </w:tabs>
        <w:spacing w:after="0" w:before="0"/>
        <w:ind w:hanging="283" w:left="709" w:right="0"/>
        <w:contextualSpacing w:val="false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аварии, связанные с обрушением зданий;</w:t>
      </w:r>
    </w:p>
    <w:p>
      <w:pPr>
        <w:pStyle w:val="style0"/>
        <w:numPr>
          <w:ilvl w:val="0"/>
          <w:numId w:val="8"/>
        </w:numPr>
        <w:tabs>
          <w:tab w:leader="none" w:pos="720" w:val="left"/>
        </w:tabs>
        <w:spacing w:after="0" w:before="0"/>
        <w:ind w:hanging="283" w:left="709" w:right="0"/>
        <w:contextualSpacing w:val="false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техногенные пожары.</w:t>
      </w:r>
    </w:p>
    <w:p>
      <w:pPr>
        <w:pStyle w:val="style0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Потенциально опасными объектами для территории проектирования являются объекты газоснабжения, расположенные на территории поселения:</w:t>
      </w:r>
    </w:p>
    <w:p>
      <w:pPr>
        <w:pStyle w:val="style127"/>
        <w:numPr>
          <w:ilvl w:val="0"/>
          <w:numId w:val="17"/>
        </w:numPr>
        <w:spacing w:after="0" w:before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газораспределительная станция;</w:t>
      </w:r>
    </w:p>
    <w:p>
      <w:pPr>
        <w:pStyle w:val="style127"/>
        <w:numPr>
          <w:ilvl w:val="0"/>
          <w:numId w:val="17"/>
        </w:numPr>
        <w:spacing w:after="0" w:before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магистральный газопровод;</w:t>
      </w:r>
    </w:p>
    <w:p>
      <w:pPr>
        <w:pStyle w:val="style127"/>
        <w:numPr>
          <w:ilvl w:val="0"/>
          <w:numId w:val="17"/>
        </w:numPr>
        <w:spacing w:after="0" w:before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распределительные сети газоснабжения и пункты редуцирования газа.</w:t>
      </w:r>
    </w:p>
    <w:p>
      <w:pPr>
        <w:pStyle w:val="style0"/>
        <w:ind w:firstLine="709" w:left="0" w:right="0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Риски возникновения чрезвычайных ситуаций на автомобильных дорогах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Основными причинами возникновения аварий на автомобильных дорогах являются: нарушение правил дорожного движения, превышение скорости, неисправность транспортных средств, неудовлетворительное техническое состояние автомобильных дорог.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 серьезным дорожно-транспортным происшествиям могут привести невыполнение правил перевозки опасных грузов и несоблюдение при этом необходимых требований безопасности. Данные аварии часто сопровождаются разливом на грунт и в водоемы опасных веществ (химических, пожароопасных).</w:t>
      </w:r>
    </w:p>
    <w:p>
      <w:pPr>
        <w:pStyle w:val="style0"/>
        <w:ind w:firstLine="709" w:left="0" w:right="0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На территории проектирования расположена улично-дорожная сеть, покрытие-  природный грунт.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  <w:bCs/>
        </w:rPr>
        <w:t>При неблагоприятных природных явлениях</w:t>
      </w:r>
      <w:r>
        <w:rPr>
          <w:rFonts w:ascii="Times New Roman" w:hAnsi="Times New Roman"/>
        </w:rPr>
        <w:t xml:space="preserve"> (дождь, снег, снег с дождем, усиление западного ветра до 5-10 м/с, в порывах до 15-20 м/с) сохраняется вероятность возникновения аварийных и чрезвычайных ситуаций, не выше муниципального характера, с вероятностью 0,5: прогнозируется рост количества дорожно-транспортных происшествий на дорогах местного значения из-за скользких дорог, снежных заносов, снежного наката, усиление гололедных явлений.</w:t>
      </w:r>
    </w:p>
    <w:p>
      <w:pPr>
        <w:pStyle w:val="style0"/>
        <w:ind w:firstLine="709" w:left="0" w:right="0"/>
        <w:rPr>
          <w:rFonts w:ascii="Times New Roman" w:hAnsi="Times New Roman"/>
          <w:szCs w:val="24"/>
        </w:rPr>
      </w:pPr>
      <w:r>
        <w:rPr>
          <w:rFonts w:ascii="Times New Roman" w:hAnsi="Times New Roman"/>
          <w:bCs/>
          <w:szCs w:val="24"/>
        </w:rPr>
        <w:t xml:space="preserve">Для смягчения последствий </w:t>
      </w:r>
      <w:r>
        <w:rPr>
          <w:rFonts w:ascii="Times New Roman" w:hAnsi="Times New Roman"/>
          <w:szCs w:val="24"/>
        </w:rPr>
        <w:t>аварий на автомобильном и железнодорожном транспорте</w:t>
      </w:r>
      <w:r>
        <w:rPr>
          <w:rFonts w:ascii="Times New Roman" w:hAnsi="Times New Roman"/>
          <w:bCs/>
          <w:szCs w:val="24"/>
        </w:rPr>
        <w:t xml:space="preserve"> необходимо применять следующие предупредительные меры</w:t>
      </w:r>
      <w:r>
        <w:rPr>
          <w:rFonts w:ascii="Times New Roman" w:hAnsi="Times New Roman"/>
          <w:szCs w:val="24"/>
        </w:rPr>
        <w:t xml:space="preserve">: </w:t>
      </w:r>
    </w:p>
    <w:p>
      <w:pPr>
        <w:pStyle w:val="style0"/>
        <w:numPr>
          <w:ilvl w:val="0"/>
          <w:numId w:val="11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разработка комплекса мероприятий, направленных на развитие системы предупреждения опасного поведения участников дорожного движения и на повышение безопасности дорожных условий;</w:t>
      </w:r>
    </w:p>
    <w:p>
      <w:pPr>
        <w:pStyle w:val="style0"/>
        <w:numPr>
          <w:ilvl w:val="0"/>
          <w:numId w:val="11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контроль состояния автомобильных дорог, технического состояния автомобилей;</w:t>
      </w:r>
    </w:p>
    <w:p>
      <w:pPr>
        <w:pStyle w:val="style0"/>
        <w:numPr>
          <w:ilvl w:val="0"/>
          <w:numId w:val="11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своевременный ремонт автомобилей, дорог;</w:t>
      </w:r>
    </w:p>
    <w:p>
      <w:pPr>
        <w:pStyle w:val="style0"/>
        <w:numPr>
          <w:ilvl w:val="0"/>
          <w:numId w:val="11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поддержание в постоянной готовности сил и средств для ремонта транспорта и дорог;</w:t>
      </w:r>
    </w:p>
    <w:p>
      <w:pPr>
        <w:pStyle w:val="style0"/>
        <w:numPr>
          <w:ilvl w:val="0"/>
          <w:numId w:val="11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соблюдение технологических норм и правил для эксплуатации транспорта;</w:t>
      </w:r>
    </w:p>
    <w:p>
      <w:pPr>
        <w:pStyle w:val="style0"/>
        <w:numPr>
          <w:ilvl w:val="0"/>
          <w:numId w:val="11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организация взаимодействия органов управления, подразделений, сил и средств.</w:t>
      </w:r>
    </w:p>
    <w:p>
      <w:pPr>
        <w:pStyle w:val="style0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Мероприятия по спасению пострадавших в таких чрезвычайных ситуациях определяются характером поражения людей, размером повреждения технических средств, наличием вторичных поражающих факторов.</w:t>
      </w:r>
    </w:p>
    <w:p>
      <w:pPr>
        <w:pStyle w:val="style0"/>
        <w:ind w:firstLine="709" w:left="0" w:right="0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Аварии на коммуникациях и технологическом оборудовании инженерных объектов</w:t>
      </w:r>
    </w:p>
    <w:p>
      <w:pPr>
        <w:pStyle w:val="style235"/>
        <w:spacing w:line="276" w:lineRule="auto"/>
        <w:rPr/>
      </w:pPr>
      <w:r>
        <w:rPr/>
        <w:t xml:space="preserve">Большая часть чрезвычайных ситуаций на коммуникациях и технологическом оборудовании инженерных объектов связана с физическим старением оборудования инженерного обеспечения. В зимний период нарастает угроза аварий на энергосистемах, выходов из строя крайне изношенного оборудования и инженерных сетей, вследствие чего жилые и административные здания могут остаться без тепла и света. </w:t>
      </w:r>
    </w:p>
    <w:p>
      <w:pPr>
        <w:pStyle w:val="style235"/>
        <w:spacing w:line="276" w:lineRule="auto"/>
        <w:rPr/>
      </w:pPr>
      <w:r>
        <w:rPr/>
        <w:t>Основными причинами аварийности являются несвоевременный и некачественный ремонт оборудования, отсутствие должного технического надзора за состоянием оборудования и материалов.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 территории проектирования и на примыкании с ней находятся объекты газоснабжения, которые являются взрывопожароопасными объектами повышенного риска.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Наиболее опасными участками газопровода являются места пересечения с автомобильными дорогами, линиями электропередачи, а также места нахождения задвижек на стыках газопроводов, газораспределительные станции. 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Одной из причин возникновения чрезвычайных ситуаций при эксплуатации газового оборудования является нарушение правил безопасности гражданами, проживающими в газифицированных зданиях.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 объектах газоснабжения для смягчения последствий возникновения чрезвычайных ситуаций необходимо применять следующие предупредительные меры:</w:t>
      </w:r>
    </w:p>
    <w:p>
      <w:pPr>
        <w:pStyle w:val="style127"/>
        <w:numPr>
          <w:ilvl w:val="0"/>
          <w:numId w:val="19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поддержание готовности сил и средств к ликвидации последствий возможных аварий на указанных объектах;</w:t>
      </w:r>
    </w:p>
    <w:p>
      <w:pPr>
        <w:pStyle w:val="style127"/>
        <w:numPr>
          <w:ilvl w:val="0"/>
          <w:numId w:val="19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визуальные проверки состояния газопроводов, газового конденсата, условий его транспортировки; </w:t>
      </w:r>
    </w:p>
    <w:p>
      <w:pPr>
        <w:pStyle w:val="style127"/>
        <w:numPr>
          <w:ilvl w:val="0"/>
          <w:numId w:val="19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контроль антикоррозийной защиты трубопроводов и своевременная замена изношенных труб;</w:t>
      </w:r>
    </w:p>
    <w:p>
      <w:pPr>
        <w:pStyle w:val="style127"/>
        <w:numPr>
          <w:ilvl w:val="0"/>
          <w:numId w:val="19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контроль над состоянием сигнализации аварийных ситуаций;</w:t>
      </w:r>
    </w:p>
    <w:p>
      <w:pPr>
        <w:pStyle w:val="style127"/>
        <w:numPr>
          <w:ilvl w:val="0"/>
          <w:numId w:val="19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информирование населения о потенциальной опасности проведения каких-либо работ, разведении огня близ газопроводов, хранилищ;</w:t>
      </w:r>
    </w:p>
    <w:p>
      <w:pPr>
        <w:pStyle w:val="style127"/>
        <w:numPr>
          <w:ilvl w:val="0"/>
          <w:numId w:val="19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систематический анализ воздуха на содержание в них природного газа.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 территории проектирования возможны аварии на объектах электросетевого хозяйства.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Аварии на электроэнергетических системах могут привести к перерывам электроснабжения потребителей, выходу из строя установок, обеспечивающих жизнедеятельность, создать пожароопасную ситуацию.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 электрических сетях возможны такие аварийные ситуации как: обрыв проводов, повреждение опор, железобетонных приставок, выходов из строя основного трансформатора, неисправность разъединителей, пробой изоляторов.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Опасными стихийными бедствиями для объектов энергетики являются сильный порывистый ветер, гололед, продолжительные ливневые дожди.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При снегопадах, сильных ветрах, обледенения и несанкционированных действий организаций и физических лиц могут произойти тяжелые аварии из-за выхода из строя трансформаторных и понизительных подстанций.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Район должен иметь энергетическую базу, полностью обеспечивающую все потребности в электроэнергии, для повышения надежности электроснабжения необходима установка автономных источников электроснабжения и обеспечение минимальной потери в электросетях. Очень важно поддержание технического состояния и модернизация трубопроводов и инженерных сетей для обеспечения устойчивости к чрезвычайным ситуациям.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 территории поселения необходимо предусмотреть использование в качестве резервных источников электроэнергии мелких стационарных и передвижных электростанций. </w:t>
      </w:r>
    </w:p>
    <w:p>
      <w:pPr>
        <w:pStyle w:val="style0"/>
        <w:ind w:firstLine="709" w:left="0" w:right="0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Аварии, связанные с обрушением зданий и сооружений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Обрушение зданий и сооружений возможны в результате:</w:t>
      </w:r>
    </w:p>
    <w:p>
      <w:pPr>
        <w:pStyle w:val="style0"/>
        <w:numPr>
          <w:ilvl w:val="0"/>
          <w:numId w:val="9"/>
        </w:numPr>
        <w:spacing w:after="0" w:before="0"/>
        <w:ind w:hanging="283" w:left="709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их продолжительной или неправильной эксплуатации с высокой степенью износа;</w:t>
      </w:r>
    </w:p>
    <w:p>
      <w:pPr>
        <w:pStyle w:val="style0"/>
        <w:numPr>
          <w:ilvl w:val="0"/>
          <w:numId w:val="9"/>
        </w:numPr>
        <w:spacing w:after="0" w:before="0"/>
        <w:ind w:hanging="283" w:left="709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дефектов при проектировании и строительстве;</w:t>
      </w:r>
    </w:p>
    <w:p>
      <w:pPr>
        <w:pStyle w:val="style0"/>
        <w:numPr>
          <w:ilvl w:val="0"/>
          <w:numId w:val="9"/>
        </w:numPr>
        <w:spacing w:after="0" w:before="0"/>
        <w:ind w:hanging="283" w:left="709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природного воздействия (ураганы, проседание фундамента).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Предупреждение обрушения жилых и производственных зданий, сооружений заключается в выполнении следующих предупредительных мер:</w:t>
      </w:r>
    </w:p>
    <w:p>
      <w:pPr>
        <w:pStyle w:val="style0"/>
        <w:numPr>
          <w:ilvl w:val="0"/>
          <w:numId w:val="9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контроль инспекции госархстройнадзора, пожнадзора за вводом в эксплуатацию зданий и сооружений, запрет бесконтрольного самостроя и перепланирования;</w:t>
      </w:r>
    </w:p>
    <w:p>
      <w:pPr>
        <w:pStyle w:val="style0"/>
        <w:numPr>
          <w:ilvl w:val="0"/>
          <w:numId w:val="9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контроль за природным воздействием на фундамент и стены сооружений, зданий;</w:t>
      </w:r>
    </w:p>
    <w:p>
      <w:pPr>
        <w:pStyle w:val="style0"/>
        <w:numPr>
          <w:ilvl w:val="0"/>
          <w:numId w:val="9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контроль за помещениями от возможного хранения взрывоопасных веществ.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Техногенные пожары</w:t>
      </w:r>
    </w:p>
    <w:p>
      <w:pPr>
        <w:pStyle w:val="style0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На территории городского поселения Коммунистический сохраняется вероятность возникновения техногенных пожаров. </w:t>
      </w:r>
    </w:p>
    <w:p>
      <w:pPr>
        <w:pStyle w:val="style0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Пожары на территории городского поселения чаще всего носят техногенный характер – горит устаревшая проводка из-за коротких замыканий. Немалую роль играет и «человеческий» фактор.</w:t>
      </w:r>
    </w:p>
    <w:p>
      <w:pPr>
        <w:pStyle w:val="style0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Строения, где наиболее возможны пожары, это бесхозные дома, где продолжительное время не проживают граждане и дома приведены в угрожающее пожароопасное состояние.</w:t>
      </w:r>
    </w:p>
    <w:p>
      <w:pPr>
        <w:pStyle w:val="style0"/>
        <w:ind w:firstLine="708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Мероприятия, проводимые органами местного самоуправления по обеспечению безопасности при техногенных пожарах должны состоять из:</w:t>
      </w:r>
    </w:p>
    <w:p>
      <w:pPr>
        <w:pStyle w:val="style0"/>
        <w:numPr>
          <w:ilvl w:val="0"/>
          <w:numId w:val="10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создание финансовых резервов и накопление муниципальных запасов материальных ресурсов;</w:t>
      </w:r>
    </w:p>
    <w:p>
      <w:pPr>
        <w:pStyle w:val="style0"/>
        <w:numPr>
          <w:ilvl w:val="0"/>
          <w:numId w:val="10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приведение в надлежащее состояние источников противопожарного водоснабжения, обеспечения проезда к зданиям, сооружениям и открытым водоемам;</w:t>
      </w:r>
    </w:p>
    <w:p>
      <w:pPr>
        <w:pStyle w:val="style0"/>
        <w:numPr>
          <w:ilvl w:val="0"/>
          <w:numId w:val="10"/>
        </w:numPr>
        <w:spacing w:after="0" w:before="0"/>
        <w:ind w:hanging="360" w:left="0" w:right="0"/>
        <w:contextualSpacing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доведение до населения сигналов экстренной эвакуации и порядок действий по ним (пункты сбора, места временного размещения).</w:t>
      </w:r>
    </w:p>
    <w:p>
      <w:pPr>
        <w:pStyle w:val="style0"/>
        <w:ind w:firstLine="709" w:left="0" w:right="0"/>
        <w:jc w:val="both"/>
        <w:rPr>
          <w:rFonts w:ascii="Times New Roman" w:eastAsia="Times New Roman" w:hAnsi="Times New Roman"/>
          <w:szCs w:val="24"/>
          <w:lang w:eastAsia="ru-RU"/>
        </w:rPr>
      </w:pPr>
      <w:r>
        <w:rPr>
          <w:rFonts w:ascii="Times New Roman" w:eastAsia="Times New Roman" w:hAnsi="Times New Roman"/>
          <w:szCs w:val="24"/>
          <w:lang w:eastAsia="ru-RU"/>
        </w:rPr>
        <w:t>Здания, сооружения и строения должны быть обеспечены первичными средствами пожаротушения лицами, уполномоченными владеть, пользоваться или распоряжаться зданиями, сооружениями и строениями.</w:t>
      </w:r>
    </w:p>
    <w:p>
      <w:pPr>
        <w:pStyle w:val="style2"/>
        <w:rPr>
          <w:rFonts w:ascii="Times New Roman" w:hAnsi="Times New Roman"/>
          <w:caps w:val="false"/>
          <w:smallCaps w:val="false"/>
          <w:lang w:val="ru-RU"/>
        </w:rPr>
      </w:pPr>
      <w:bookmarkStart w:id="32" w:name="_Toc79251829"/>
      <w:r>
        <w:rPr>
          <w:rFonts w:ascii="Times New Roman" w:hAnsi="Times New Roman"/>
          <w:lang w:val="ru-RU"/>
        </w:rPr>
        <w:t>9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lang w:val="ru-RU"/>
        </w:rPr>
        <w:t>4</w:t>
      </w:r>
      <w:r>
        <w:rPr>
          <w:rFonts w:ascii="Times New Roman" w:hAnsi="Times New Roman"/>
        </w:rPr>
        <w:t xml:space="preserve"> </w:t>
      </w:r>
      <w:bookmarkEnd w:id="32"/>
      <w:r>
        <w:rPr>
          <w:rFonts w:ascii="Times New Roman" w:hAnsi="Times New Roman"/>
          <w:caps w:val="false"/>
          <w:smallCaps w:val="false"/>
          <w:lang w:val="ru-RU"/>
        </w:rPr>
        <w:t>Мероприятия по гражданской обороне</w:t>
      </w:r>
    </w:p>
    <w:p>
      <w:pPr>
        <w:pStyle w:val="style0"/>
        <w:spacing w:line="300" w:lineRule="auto"/>
        <w:ind w:firstLine="709" w:left="0" w:right="0"/>
        <w:jc w:val="both"/>
        <w:rPr>
          <w:rStyle w:val="style114"/>
          <w:rFonts w:ascii="Times New Roman" w:cs="Times New Roman" w:hAnsi="Times New Roman"/>
          <w:sz w:val="24"/>
          <w:szCs w:val="24"/>
        </w:rPr>
      </w:pPr>
      <w:r>
        <w:rPr>
          <w:rStyle w:val="style114"/>
          <w:rFonts w:ascii="Times New Roman" w:cs="Times New Roman" w:hAnsi="Times New Roman"/>
          <w:sz w:val="24"/>
          <w:szCs w:val="24"/>
        </w:rPr>
        <w:t>В соответствии с Приложением А СП 165.1325800.2014 «Инженерно-технические мероприятия по гражданской обороне. Актуализированная редакция СНиП 2.01.51-90» территория проектирования находится вне зон возможных разрушений, катастрофического затопления, радиоактивного заражения (загрязнения).</w:t>
      </w:r>
    </w:p>
    <w:p>
      <w:pPr>
        <w:pStyle w:val="style0"/>
        <w:spacing w:line="300" w:lineRule="auto"/>
        <w:ind w:firstLine="709" w:left="0" w:right="0"/>
        <w:jc w:val="both"/>
        <w:rPr>
          <w:rStyle w:val="style114"/>
          <w:rFonts w:ascii="Times New Roman" w:cs="Times New Roman" w:hAnsi="Times New Roman"/>
          <w:sz w:val="24"/>
          <w:szCs w:val="24"/>
        </w:rPr>
      </w:pPr>
      <w:bookmarkStart w:id="33" w:name="bookmark10"/>
      <w:r>
        <w:rPr>
          <w:rStyle w:val="style114"/>
          <w:rFonts w:ascii="Times New Roman" w:cs="Times New Roman" w:hAnsi="Times New Roman"/>
          <w:sz w:val="24"/>
          <w:szCs w:val="24"/>
        </w:rPr>
        <w:t>В</w:t>
      </w:r>
      <w:bookmarkEnd w:id="33"/>
      <w:r>
        <w:rPr>
          <w:rStyle w:val="style114"/>
          <w:rFonts w:ascii="Times New Roman" w:cs="Times New Roman" w:hAnsi="Times New Roman"/>
          <w:sz w:val="24"/>
          <w:szCs w:val="24"/>
        </w:rPr>
        <w:t xml:space="preserve"> непосредственной близости от проектируемой территории объектов особой важности по гражданской обороне, населенных пунктов, отнесенных к группам по гражданской обороне, не расположено.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На территории проектирования требуется организация оповещения о возникновении чрезвычайных ситуаций.</w:t>
      </w:r>
    </w:p>
    <w:p>
      <w:pPr>
        <w:pStyle w:val="style0"/>
        <w:spacing w:line="300" w:lineRule="auto"/>
        <w:ind w:firstLine="709" w:left="0" w:right="0"/>
        <w:jc w:val="both"/>
        <w:rPr>
          <w:rStyle w:val="style114"/>
          <w:rFonts w:ascii="Times New Roman" w:cs="Times New Roman" w:hAnsi="Times New Roman"/>
          <w:sz w:val="24"/>
          <w:szCs w:val="24"/>
        </w:rPr>
      </w:pPr>
      <w:r>
        <w:rPr>
          <w:rStyle w:val="style114"/>
          <w:rFonts w:ascii="Times New Roman" w:cs="Times New Roman" w:hAnsi="Times New Roman"/>
          <w:sz w:val="24"/>
          <w:szCs w:val="24"/>
        </w:rPr>
        <w:t>При получении сигнала по гражданской обороне персонал в соответствии с инструкциями должен выполнить операции, обеспечивающие прекращение технологических процессов в минимально возможные сроки без нарушения целостности технологического оборудования.</w:t>
      </w:r>
    </w:p>
    <w:p>
      <w:pPr>
        <w:pStyle w:val="style2"/>
        <w:rPr>
          <w:rFonts w:ascii="Times New Roman" w:hAnsi="Times New Roman"/>
          <w:caps w:val="false"/>
          <w:smallCaps w:val="false"/>
        </w:rPr>
      </w:pPr>
      <w:bookmarkStart w:id="34" w:name="_Toc79251830"/>
      <w:bookmarkStart w:id="35" w:name="_Toc467150789"/>
      <w:r>
        <w:rPr>
          <w:rFonts w:ascii="Times New Roman" w:hAnsi="Times New Roman"/>
          <w:lang w:val="ru-RU"/>
        </w:rPr>
        <w:t>9</w:t>
      </w:r>
      <w:r>
        <w:rPr>
          <w:rFonts w:ascii="Times New Roman" w:hAnsi="Times New Roman"/>
        </w:rPr>
        <w:t xml:space="preserve">.5 </w:t>
      </w:r>
      <w:r>
        <w:rPr>
          <w:rFonts w:ascii="Times New Roman" w:hAnsi="Times New Roman"/>
          <w:caps w:val="false"/>
          <w:smallCaps w:val="false"/>
          <w:lang w:val="ru-RU"/>
        </w:rPr>
        <w:t>И</w:t>
      </w:r>
      <w:r>
        <w:rPr>
          <w:rFonts w:ascii="Times New Roman" w:hAnsi="Times New Roman"/>
          <w:caps w:val="false"/>
          <w:smallCaps w:val="false"/>
        </w:rPr>
        <w:t xml:space="preserve">нформирование населения в районах возможного возникновения </w:t>
      </w:r>
      <w:bookmarkEnd w:id="35"/>
      <w:bookmarkEnd w:id="34"/>
      <w:r>
        <w:rPr>
          <w:rFonts w:ascii="Times New Roman" w:hAnsi="Times New Roman"/>
          <w:caps w:val="false"/>
          <w:smallCaps w:val="false"/>
        </w:rPr>
        <w:t>чрезвычайных ситуаций</w:t>
      </w:r>
    </w:p>
    <w:p>
      <w:pPr>
        <w:pStyle w:val="style127"/>
        <w:spacing w:line="300" w:lineRule="auto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Всеми мероприятиями по защите населения и сокращению возможного ущерба экономике при угрозе крупномасштабных чрезвычайных ситуаций руководит Комиссия по предупреждению и ликвидации чрезвычайных ситуаций и обеспечению пожарной безопасности администрации Советского района (КЧС и ОПБ района).</w:t>
      </w:r>
    </w:p>
    <w:p>
      <w:pPr>
        <w:pStyle w:val="style127"/>
        <w:spacing w:line="300" w:lineRule="auto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Оповещение органов управления районного звена подсистемы Единой государственной системы предупреждения и ликвидации чрезвычайных ситуаций (РСЧС) и структурных подразделений (оперативных групп поселений, дежурных диспетчерских служб) осуществляется по решению председателя КЧС и ОПБ района, путем задействования стойки циркулярного вызова (СЦВ) районного узла связи и путем передачи информации об угрозе возникновения чрезвычайных ситуаций по телефонам оперативной группой КЧС и ОПБ района.</w:t>
      </w:r>
    </w:p>
    <w:p>
      <w:pPr>
        <w:pStyle w:val="style127"/>
        <w:spacing w:line="300" w:lineRule="auto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Районной КЧС и ОПБ рекомендуется текст информации для населения района об угрозе возникновения крупной производственной аварии, катастрофы или стихийного бедствия, и в случае необходимости готовится распоряжение председателя КЧС и ОПБ «О введении на территории района режима повышенной готовности» или распоряжение о принятии неотложных мер, которое направляется районным службам, администрациям поселений, предприятиям, организациям.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предупреждения и ликвидации возможных чрезвычайных ситуаций на территории Советского района предусмотрены:</w:t>
      </w:r>
    </w:p>
    <w:p>
      <w:pPr>
        <w:pStyle w:val="style127"/>
        <w:numPr>
          <w:ilvl w:val="0"/>
          <w:numId w:val="14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административная система, технические средства и силы ликвидации чрезвычайных ситуаций и управления гражданской обороны;</w:t>
      </w:r>
    </w:p>
    <w:p>
      <w:pPr>
        <w:pStyle w:val="style127"/>
        <w:numPr>
          <w:ilvl w:val="0"/>
          <w:numId w:val="14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оповещение по сигналам гражданской обороны производственной, административной и жилой застройки;</w:t>
      </w:r>
    </w:p>
    <w:p>
      <w:pPr>
        <w:pStyle w:val="style127"/>
        <w:numPr>
          <w:ilvl w:val="0"/>
          <w:numId w:val="14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защитные сооружения гражданской обороны;</w:t>
      </w:r>
    </w:p>
    <w:p>
      <w:pPr>
        <w:pStyle w:val="style127"/>
        <w:numPr>
          <w:ilvl w:val="0"/>
          <w:numId w:val="14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световая маскировка наружного и внутреннего освещения населенных пунктов и объектов;</w:t>
      </w:r>
    </w:p>
    <w:p>
      <w:pPr>
        <w:pStyle w:val="style127"/>
        <w:numPr>
          <w:ilvl w:val="0"/>
          <w:numId w:val="14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существующие системы жизнеобеспечения (водоснабжения, канализации, электроснабжения, теплоснабжения, газоснабжения);</w:t>
      </w:r>
    </w:p>
    <w:p>
      <w:pPr>
        <w:pStyle w:val="style127"/>
        <w:numPr>
          <w:ilvl w:val="0"/>
          <w:numId w:val="14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существующая транспортная инфраструктура;</w:t>
      </w:r>
    </w:p>
    <w:p>
      <w:pPr>
        <w:pStyle w:val="style127"/>
        <w:numPr>
          <w:ilvl w:val="0"/>
          <w:numId w:val="14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административная система и технические средства управления ликвидации чрезвычайных ситуаций на предприятиях;</w:t>
      </w:r>
    </w:p>
    <w:p>
      <w:pPr>
        <w:pStyle w:val="style127"/>
        <w:numPr>
          <w:ilvl w:val="0"/>
          <w:numId w:val="14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мероприятия по предупреждению и снижению последствий чрезвычайных ситуаций природного и техногенного характера.</w:t>
      </w:r>
    </w:p>
    <w:p>
      <w:pPr>
        <w:pStyle w:val="style127"/>
        <w:spacing w:line="300" w:lineRule="auto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Наличие сил и средств:</w:t>
      </w:r>
    </w:p>
    <w:p>
      <w:pPr>
        <w:pStyle w:val="style127"/>
        <w:numPr>
          <w:ilvl w:val="0"/>
          <w:numId w:val="15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гарнизон пожарной охраны Советского муниципального района;</w:t>
      </w:r>
    </w:p>
    <w:p>
      <w:pPr>
        <w:pStyle w:val="style127"/>
        <w:numPr>
          <w:ilvl w:val="0"/>
          <w:numId w:val="15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бригады скорой медицинской помощи;</w:t>
      </w:r>
    </w:p>
    <w:p>
      <w:pPr>
        <w:pStyle w:val="style127"/>
        <w:numPr>
          <w:ilvl w:val="0"/>
          <w:numId w:val="15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отдел внутренних дел по Советскому району;</w:t>
      </w:r>
    </w:p>
    <w:p>
      <w:pPr>
        <w:pStyle w:val="style127"/>
        <w:numPr>
          <w:ilvl w:val="0"/>
          <w:numId w:val="15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аварийно-спасательные силы ОАО «РЖД»</w:t>
      </w:r>
    </w:p>
    <w:p>
      <w:pPr>
        <w:pStyle w:val="style127"/>
        <w:numPr>
          <w:ilvl w:val="0"/>
          <w:numId w:val="15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аварийно-спасательные силы;</w:t>
      </w:r>
    </w:p>
    <w:p>
      <w:pPr>
        <w:pStyle w:val="style127"/>
        <w:numPr>
          <w:ilvl w:val="0"/>
          <w:numId w:val="15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нештатные аварийные формирования;</w:t>
      </w:r>
    </w:p>
    <w:p>
      <w:pPr>
        <w:pStyle w:val="style127"/>
        <w:numPr>
          <w:ilvl w:val="0"/>
          <w:numId w:val="15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дополнительно могут быть привлечены силы и средства МЧС России по по Ханты-Мансийскому автономному округу-Югры.</w:t>
      </w:r>
    </w:p>
    <w:p>
      <w:pPr>
        <w:pStyle w:val="style127"/>
        <w:spacing w:line="300" w:lineRule="auto"/>
        <w:ind w:firstLine="720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оповещения по сигналам гражданской обороны (сигналам оповещения чрезвычайных ситуаций) жителей поселения предусматривается использование:</w:t>
      </w:r>
    </w:p>
    <w:p>
      <w:pPr>
        <w:pStyle w:val="style127"/>
        <w:numPr>
          <w:ilvl w:val="0"/>
          <w:numId w:val="16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оборудования и сети для приема программ вещания;</w:t>
      </w:r>
    </w:p>
    <w:p>
      <w:pPr>
        <w:pStyle w:val="style127"/>
        <w:numPr>
          <w:ilvl w:val="0"/>
          <w:numId w:val="16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поселковой телефонной сети;</w:t>
      </w:r>
    </w:p>
    <w:p>
      <w:pPr>
        <w:pStyle w:val="style127"/>
        <w:numPr>
          <w:ilvl w:val="0"/>
          <w:numId w:val="16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объектовых систем оповещения;</w:t>
      </w:r>
    </w:p>
    <w:p>
      <w:pPr>
        <w:pStyle w:val="style127"/>
        <w:numPr>
          <w:ilvl w:val="0"/>
          <w:numId w:val="16"/>
        </w:numPr>
        <w:spacing w:after="0" w:before="0" w:line="300" w:lineRule="auto"/>
        <w:ind w:hanging="360" w:left="0" w:right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сетей приема эфирного, спутникового и кабельного телевидения, громкоговорителей и сирен С-40 на территории населенных пунктов поселения.</w:t>
      </w:r>
    </w:p>
    <w:p>
      <w:pPr>
        <w:pStyle w:val="style0"/>
        <w:spacing w:line="300" w:lineRule="auto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Внутреннее оповещение рабочих и служащих на объектах экономики проводится дежурными диспетчерами (дежурными) по объектовым системам оповещения, согласно разработанным схемам.</w:t>
      </w:r>
    </w:p>
    <w:p>
      <w:pPr>
        <w:sectPr>
          <w:footerReference r:id="rId2" w:type="default"/>
          <w:type w:val="nextPage"/>
          <w:pgSz w:h="16838" w:w="11906"/>
          <w:pgMar w:bottom="993" w:footer="567" w:gutter="0" w:header="0" w:left="1418" w:right="567" w:top="1134"/>
          <w:pgNumType w:fmt="decimal"/>
          <w:formProt w:val="false"/>
          <w:textDirection w:val="lrTb"/>
          <w:docGrid w:charSpace="4096" w:linePitch="299" w:type="default"/>
        </w:sectPr>
        <w:pStyle w:val="style0"/>
        <w:spacing w:line="300" w:lineRule="auto"/>
        <w:ind w:firstLine="709" w:left="0" w:righ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sectPr>
          <w:footerReference r:id="rId4" w:type="default"/>
          <w:type w:val="nextPage"/>
          <w:pgSz w:h="16838" w:w="11906"/>
          <w:pgMar w:bottom="1134" w:footer="567" w:gutter="0" w:header="0" w:left="1418" w:right="567" w:top="1134"/>
          <w:pgNumType w:fmt="decimal"/>
          <w:formProt w:val="false"/>
          <w:textDirection w:val="lrTb"/>
          <w:docGrid w:charSpace="4096" w:linePitch="299" w:type="default"/>
        </w:sectPr>
        <w:pStyle w:val="style0"/>
        <w:spacing w:line="300" w:lineRule="auto"/>
        <w:ind w:hanging="0" w:left="-1418" w:right="-567"/>
        <w:jc w:val="both"/>
        <w:rPr/>
      </w:pPr>
      <w:r>
        <w:rPr/>
        <w:drawing>
          <wp:inline distB="0" distL="0" distR="0" distT="0">
            <wp:extent cx="7543800" cy="6166485"/>
            <wp:effectExtent b="0" l="0" r="0" t="0"/>
            <wp:docPr descr="F:\Work\ЗиГ\160_01-ВХ-9718 2020-042_ППМ сети водоснабжения г.п. Коммунистический\Проект планировки территории\Раздел 1. Проект планировки. Графическая часть\ПП ОЧ 1. Чертеж красных линий - копия.jpg" id="0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F:\Work\ЗиГ\160_01-ВХ-9718 2020-042_ППМ сети водоснабжения г.п. Коммунистический\Проект планировки территории\Раздел 1. Проект планировки. Графическая часть\ПП ОЧ 1. Чертеж красных линий - копия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6166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ectPr>
          <w:footerReference r:id="rId6" w:type="default"/>
          <w:type w:val="nextPage"/>
          <w:pgSz w:h="16838" w:w="11906"/>
          <w:pgMar w:bottom="1134" w:footer="567" w:gutter="0" w:header="0" w:left="1418" w:right="567" w:top="1134"/>
          <w:pgNumType w:fmt="decimal"/>
          <w:formProt w:val="false"/>
          <w:textDirection w:val="lrTb"/>
          <w:docGrid w:charSpace="4096" w:linePitch="299" w:type="default"/>
        </w:sectPr>
        <w:pStyle w:val="style0"/>
        <w:spacing w:line="300" w:lineRule="auto"/>
        <w:ind w:hanging="0" w:left="-1418" w:right="0"/>
        <w:jc w:val="both"/>
        <w:rPr/>
      </w:pPr>
      <w:bookmarkStart w:id="36" w:name="_Toc37413442"/>
      <w:bookmarkStart w:id="37" w:name="_Toc76131595"/>
      <w:bookmarkStart w:id="38" w:name="_Toc518547236"/>
      <w:bookmarkStart w:id="39" w:name="_Toc403551000"/>
      <w:bookmarkEnd w:id="36"/>
      <w:bookmarkEnd w:id="37"/>
      <w:bookmarkEnd w:id="4"/>
      <w:bookmarkEnd w:id="5"/>
      <w:bookmarkEnd w:id="6"/>
      <w:bookmarkEnd w:id="38"/>
      <w:bookmarkEnd w:id="39"/>
      <w:r>
        <w:rPr/>
        <w:drawing>
          <wp:inline distB="0" distL="0" distR="0" distT="0">
            <wp:extent cx="7534275" cy="6158865"/>
            <wp:effectExtent b="0" l="0" r="0" t="0"/>
            <wp:docPr descr="F:\Work\ЗиГ\160_01-ВХ-9718 2020-042_ППМ сети водоснабжения г.п. Коммунистический\Проект планировки территории\Раздел 1. Проект планировки. Графическая часть\ПП ОЧ 2. Чертеж границ ЗПР - копия.jpg"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F:\Work\ЗиГ\160_01-ВХ-9718 2020-042_ППМ сети водоснабжения г.п. Коммунистический\Проект планировки территории\Раздел 1. Проект планировки. Графическая часть\ПП ОЧ 2. Чертеж границ ЗПР - копия.jpg" id="1" name="Picture"/>
                    <pic:cNvPicPr>
                      <a:picLocks noChangeArrowheads="1"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275" cy="6158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style172"/>
        <w:spacing w:after="240" w:before="0"/>
        <w:contextualSpacing w:val="false"/>
        <w:rPr/>
      </w:pPr>
      <w:bookmarkStart w:id="40" w:name="_Toc79229202"/>
      <w:bookmarkStart w:id="41" w:name="_Toc23869721"/>
      <w:bookmarkStart w:id="42" w:name="_Toc490485063"/>
      <w:r>
        <w:rPr/>
        <w:t>ПРОЕКТ МЕЖЕВАНИЯ ТЕРРИТОРИИ. ОСНОВНАЯ ЧАСТЬ.</w:t>
      </w:r>
    </w:p>
    <w:p>
      <w:pPr>
        <w:pStyle w:val="style0"/>
        <w:spacing w:after="0" w:before="0" w:line="300" w:lineRule="auto"/>
        <w:contextualSpacing w:val="false"/>
        <w:jc w:val="both"/>
        <w:rPr>
          <w:rFonts w:ascii="Times New Roman" w:hAnsi="Times New Roman"/>
          <w:b/>
          <w:sz w:val="24"/>
          <w:szCs w:val="24"/>
        </w:rPr>
      </w:pPr>
      <w:bookmarkStart w:id="43" w:name="_Toc79229202"/>
      <w:bookmarkStart w:id="44" w:name="_Toc23869721"/>
      <w:bookmarkStart w:id="45" w:name="_Toc490485063"/>
      <w:r>
        <w:rPr>
          <w:rFonts w:ascii="Times New Roman" w:hAnsi="Times New Roman"/>
          <w:b/>
          <w:sz w:val="24"/>
          <w:szCs w:val="24"/>
        </w:rPr>
        <w:t>ЧАСТЬ 1. ПЕРЕЧЕНЬ И СВЕДЕНИЯ О ПЛОЩАДИ ОБРАЗУЕМЫХ ЗЕМЕЛЬНЫХ УЧАСТКОВ, В ТОМ ЧИСЛЕ ВОЗМОЖНЫЕ СПОСОБЫ ИХ ОБРАЗОВАНИЯ</w:t>
      </w:r>
      <w:bookmarkEnd w:id="44"/>
      <w:bookmarkEnd w:id="45"/>
      <w:bookmarkEnd w:id="43"/>
      <w:r>
        <w:rPr>
          <w:rFonts w:ascii="Times New Roman" w:hAnsi="Times New Roman"/>
          <w:b/>
          <w:sz w:val="24"/>
          <w:szCs w:val="24"/>
        </w:rPr>
        <w:t>. ВИД РАЗРЕШЕННОГО ИСПОЛЬЗОВАНИЯ ОБРАЗУЕМЫХ ЗЕМЕЛЬНЫХ УЧАСТКОВ</w:t>
      </w:r>
    </w:p>
    <w:p>
      <w:pPr>
        <w:pStyle w:val="style0"/>
        <w:spacing w:after="0" w:before="0" w:line="300" w:lineRule="auto"/>
        <w:ind w:firstLine="709" w:left="0" w:right="0"/>
        <w:contextualSpacing w:val="false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b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В соответствии с п. 2 «Перечня в</w:t>
      </w:r>
      <w:r>
        <w:rPr>
          <w:rFonts w:ascii="Times New Roman" w:hAnsi="Times New Roman"/>
          <w:sz w:val="24"/>
          <w:szCs w:val="24"/>
          <w:lang w:eastAsia="ru-RU"/>
        </w:rPr>
        <w:t>идов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сервитутов», утвержденным Постановление Правительства РФ от 03.12.2014 № 1300, размещение водопроводов и водоводов всех видов, для размещения которых не требуется разрешения на строительство, может осуществляться без предоставления земельных участков и установления сервитутов.</w:t>
      </w:r>
    </w:p>
    <w:p>
      <w:pPr>
        <w:pStyle w:val="style0"/>
        <w:spacing w:after="0" w:before="0" w:line="300" w:lineRule="auto"/>
        <w:ind w:firstLine="709" w:left="0" w:right="0"/>
        <w:contextualSpacing w:val="false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Согласно «Перечню случаев, при которых не требуется разрешение на строительство на территории Ханты-Мансийского автономного округа - Югры», утвержденному Постановлением Правительства Ханты-Мансийского автономного-округа – Югры от 11.07.2014 № 257-п, для строительства сетей водоснабжения, планируемого в соответствии с настоящей документацией по планировке территории, получение разрешения на строительство не требуется.</w:t>
      </w:r>
    </w:p>
    <w:p>
      <w:pPr>
        <w:pStyle w:val="style0"/>
        <w:spacing w:after="0" w:before="0" w:line="300" w:lineRule="auto"/>
        <w:ind w:firstLine="709" w:left="0" w:right="0"/>
        <w:contextualSpacing w:val="false"/>
        <w:jc w:val="both"/>
        <w:rPr>
          <w:rFonts w:ascii="Times New Roman" w:hAnsi="Times New Roman"/>
          <w:sz w:val="24"/>
          <w:szCs w:val="24"/>
          <w:lang w:eastAsia="ru-RU"/>
        </w:rPr>
      </w:pPr>
      <w:bookmarkStart w:id="46" w:name="_Toc79229203"/>
      <w:r>
        <w:rPr>
          <w:rFonts w:ascii="Times New Roman" w:hAnsi="Times New Roman"/>
          <w:sz w:val="24"/>
          <w:szCs w:val="24"/>
          <w:lang w:eastAsia="ru-RU"/>
        </w:rPr>
        <w:t>Таким образом, для строительства сетей водоснабжения, планируемого в соответствии с настоящей документацией по планировке территории, образование земельных участков не требуется.</w:t>
      </w:r>
    </w:p>
    <w:p>
      <w:pPr>
        <w:pStyle w:val="style0"/>
        <w:spacing w:after="0" w:before="0" w:line="300" w:lineRule="auto"/>
        <w:contextualSpacing w:val="false"/>
        <w:jc w:val="both"/>
        <w:rPr>
          <w:rFonts w:ascii="Times New Roman" w:hAnsi="Times New Roman"/>
          <w:b/>
          <w:sz w:val="24"/>
          <w:szCs w:val="24"/>
        </w:rPr>
      </w:pPr>
      <w:bookmarkEnd w:id="46"/>
      <w:r>
        <w:rPr>
          <w:rFonts w:ascii="Times New Roman" w:hAnsi="Times New Roman"/>
          <w:b/>
          <w:sz w:val="24"/>
          <w:szCs w:val="24"/>
        </w:rPr>
        <w:t>ЧАСТЬ 2. ПЕРЕЧЕНЬ КООРДИНАТ ХАРАКТЕРНЫХ ТОЧЕК ОБРАЗУЕМЫХ ЗЕМЕЛЬНЫХ УЧАСТКОВ</w:t>
      </w:r>
    </w:p>
    <w:p>
      <w:pPr>
        <w:pStyle w:val="style0"/>
        <w:ind w:firstLine="709" w:left="0" w:right="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Настоящим проектом образование земельных участков не предусмотрено. </w:t>
      </w:r>
    </w:p>
    <w:p>
      <w:pPr>
        <w:pStyle w:val="style0"/>
        <w:spacing w:after="0" w:before="0" w:line="300" w:lineRule="auto"/>
        <w:contextualSpacing w:val="false"/>
        <w:jc w:val="both"/>
        <w:rPr>
          <w:rFonts w:ascii="Times New Roman" w:hAnsi="Times New Roman"/>
          <w:b/>
          <w:sz w:val="24"/>
          <w:szCs w:val="24"/>
        </w:rPr>
      </w:pPr>
      <w:bookmarkStart w:id="47" w:name="_Toc79229204"/>
      <w:bookmarkEnd w:id="47"/>
      <w:r>
        <w:rPr>
          <w:rFonts w:ascii="Times New Roman" w:hAnsi="Times New Roman"/>
          <w:b/>
          <w:sz w:val="24"/>
          <w:szCs w:val="24"/>
        </w:rPr>
        <w:t>ЧАСТЬ 3. ПЕРЕЧЕНЬ КООРДИНАТ ХАРАКТЕРНЫХ ТОЧЕК ОБРАЗУЕМЫХ ЗЕМЕЛЬНЫХ УЧАСТКОВ</w:t>
      </w:r>
    </w:p>
    <w:p>
      <w:pPr>
        <w:pStyle w:val="style0"/>
        <w:ind w:firstLine="709" w:left="0" w:right="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Настоящим проектом образование земел</w:t>
      </w:r>
      <w:bookmarkStart w:id="48" w:name="_Toc79229205"/>
      <w:r>
        <w:rPr>
          <w:rFonts w:ascii="Times New Roman" w:hAnsi="Times New Roman"/>
          <w:bCs/>
          <w:sz w:val="24"/>
          <w:szCs w:val="24"/>
          <w:lang w:eastAsia="ru-RU"/>
        </w:rPr>
        <w:t>ьных участков не предусмотрено.</w:t>
      </w:r>
    </w:p>
    <w:p>
      <w:pPr>
        <w:pStyle w:val="style0"/>
        <w:spacing w:after="0" w:before="0" w:line="300" w:lineRule="auto"/>
        <w:contextualSpacing w:val="false"/>
        <w:jc w:val="both"/>
        <w:rPr>
          <w:rFonts w:ascii="Times New Roman" w:hAnsi="Times New Roman"/>
          <w:b/>
          <w:sz w:val="24"/>
          <w:szCs w:val="24"/>
        </w:rPr>
      </w:pPr>
      <w:bookmarkEnd w:id="48"/>
      <w:r>
        <w:rPr>
          <w:rFonts w:ascii="Times New Roman" w:hAnsi="Times New Roman"/>
          <w:b/>
          <w:sz w:val="24"/>
          <w:szCs w:val="24"/>
        </w:rPr>
        <w:t>ЧАСТЬ 4. СВЕДЕНИЯ О ГРАНИЦАХ ТЕРРИТОРИИ, ПРИМЕНИТЕЛЬНО К КОТОРОЙ ОСУЩЕСТВЛЯЕТСЯ ПОДГОТОВКА ПРОЕКТА МЕЖЕВАНИЯ, СОДЕРЖАЩИЕ ПЕРЕЧЕНЬ КООРДИНАТ ХАРАКТЕРНЫХ ТОЧЕК ТАКИХ ГРАНИЦ В СИСТЕМЕ КООРДИНАТ, ИСПОЛЬЗУЕМОЙ ДЛЯ ВЕДЕНИЯ ЕДИНОГО ГОСУДАРСТВЕННОГО РЕЕСТРА НЕДВИЖИМОСТИ</w:t>
      </w:r>
    </w:p>
    <w:p>
      <w:pPr>
        <w:pStyle w:val="style0"/>
        <w:ind w:firstLine="709" w:left="0" w:right="0"/>
        <w:jc w:val="both"/>
        <w:rPr>
          <w:rFonts w:ascii="Times New Roman" w:hAnsi="Times New Roman"/>
          <w:sz w:val="24"/>
          <w:szCs w:val="24"/>
          <w:shd w:fill="FFFFFF" w:val="clear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Каталог координат характерных точек </w:t>
      </w:r>
      <w:r>
        <w:rPr>
          <w:rFonts w:ascii="Times New Roman" w:hAnsi="Times New Roman"/>
          <w:sz w:val="24"/>
          <w:szCs w:val="24"/>
          <w:shd w:fill="FFFFFF" w:val="clear"/>
        </w:rPr>
        <w:t xml:space="preserve">границы территории, в отношении которой разработан проект межевания, представлен в таблице 2.1. </w:t>
      </w:r>
    </w:p>
    <w:p>
      <w:pPr>
        <w:pStyle w:val="style0"/>
        <w:spacing w:after="0" w:before="0" w:line="300" w:lineRule="auto"/>
        <w:contextualSpacing w:val="false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 2.1</w:t>
      </w:r>
    </w:p>
    <w:p>
      <w:pPr>
        <w:pStyle w:val="style188"/>
        <w:spacing w:after="0" w:before="0" w:line="300" w:lineRule="auto"/>
        <w:ind w:hanging="0" w:left="0" w:right="0"/>
        <w:contextualSpacing w:val="false"/>
        <w:jc w:val="center"/>
        <w:rPr>
          <w:shd w:fill="FFFFFF" w:val="clear"/>
        </w:rPr>
      </w:pPr>
      <w:r>
        <w:rPr>
          <w:bCs/>
        </w:rPr>
        <w:t xml:space="preserve">Каталог координат характерных точек </w:t>
      </w:r>
      <w:r>
        <w:rPr>
          <w:shd w:fill="FFFFFF" w:val="clear"/>
        </w:rPr>
        <w:t>границы территории, в отношении которой разработан проект межевания территории</w:t>
      </w:r>
    </w:p>
    <w:tbl>
      <w:tblPr>
        <w:tblW w:type="dxa" w:w="9623"/>
        <w:jc w:val="left"/>
        <w:tblInd w:type="dxa" w:w="0"/>
        <w:tblBorders>
          <w:top w:color="00000A" w:space="0" w:sz="4" w:val="single"/>
          <w:left w:color="00000A" w:space="0" w:sz="4" w:val="single"/>
          <w:bottom w:color="00000A" w:space="0" w:sz="4" w:val="single"/>
          <w:insideH w:color="00000A" w:space="0" w:sz="4" w:val="single"/>
          <w:right w:color="00000A" w:space="0" w:sz="4" w:val="single"/>
          <w:insideV w:color="00000A" w:space="0" w:sz="4" w:val="single"/>
        </w:tblBorders>
        <w:tblCellMar>
          <w:top w:type="dxa" w:w="0"/>
          <w:left w:type="dxa" w:w="108"/>
          <w:bottom w:type="dxa" w:w="0"/>
          <w:right w:type="dxa" w:w="108"/>
        </w:tblCellMar>
      </w:tblPr>
      <w:tblGrid>
        <w:gridCol w:w="1901"/>
        <w:gridCol w:w="4137"/>
        <w:gridCol w:w="3585"/>
      </w:tblGrid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Номер точки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X, м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Y, м</w:t>
            </w:r>
          </w:p>
        </w:tc>
      </w:tr>
    </w:tbl>
    <w:p>
      <w:pPr>
        <w:pStyle w:val="style0"/>
        <w:spacing w:after="0" w:before="0" w:line="12" w:lineRule="auto"/>
        <w:contextualSpacing w:val="false"/>
        <w:rPr/>
      </w:pPr>
      <w:r>
        <w:rPr/>
      </w:r>
    </w:p>
    <w:tbl>
      <w:tblPr>
        <w:tblW w:type="dxa" w:w="9623"/>
        <w:jc w:val="left"/>
        <w:tblInd w:type="dxa" w:w="0"/>
        <w:tblBorders>
          <w:top w:color="00000A" w:space="0" w:sz="4" w:val="single"/>
          <w:left w:color="00000A" w:space="0" w:sz="4" w:val="single"/>
          <w:bottom w:color="00000A" w:space="0" w:sz="4" w:val="single"/>
          <w:insideH w:color="00000A" w:space="0" w:sz="4" w:val="single"/>
          <w:right w:color="00000A" w:space="0" w:sz="4" w:val="single"/>
          <w:insideV w:color="00000A" w:space="0" w:sz="4" w:val="single"/>
        </w:tblBorders>
        <w:tblCellMar>
          <w:top w:type="dxa" w:w="0"/>
          <w:left w:type="dxa" w:w="108"/>
          <w:bottom w:type="dxa" w:w="0"/>
          <w:right w:type="dxa" w:w="108"/>
        </w:tblCellMar>
      </w:tblPr>
      <w:tblGrid>
        <w:gridCol w:w="1901"/>
        <w:gridCol w:w="4137"/>
        <w:gridCol w:w="3585"/>
      </w:tblGrid>
      <w:tr>
        <w:trPr>
          <w:tblHeader w:val="true"/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9623"/>
            <w:gridSpan w:val="3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2CC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  <w:t>Контур 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1038082,67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1733742,31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1038144,93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1733693,11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1038216,73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1733781,70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1038333,12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1733690,17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1038501,87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1733543,23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1038534,31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1733569,40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1038581,75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1733594,67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1038216,09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1733918,63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1038199,53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1733944,53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1038198,90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1733997,06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1038273,92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1734085,94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1038246,17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1734111,03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1038223,24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1734086,07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1038206,16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1734101,44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1038257,15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1734158,70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1038304,49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1734118,56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1038430,57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1734256,07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1038731,48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1733995,31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1038732,43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1733990,87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1038719,69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1733969,40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1038742,13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1733945,35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1038751,77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1733907,08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1038751,10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1733788,89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1038734,96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1733740,78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1038691,00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1733681,50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1038685,18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1733686,39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1038671,69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1733697,74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1038628,87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1733656,71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1038651,51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1733630,29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1038620,18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1733589,90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1038501,21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1733506,29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1038227,87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1733738,90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1038153,20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1733643,34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1038105,11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1733676,18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1038057,42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1733711,40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9623"/>
            <w:gridSpan w:val="3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2CC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  <w:t>Контур 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1038600,54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1733613,57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1038628,89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1733650,41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1038619,51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1733660,00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1038633,73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1733680,63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1038252,18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1734019,35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1038229,81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1733992,27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1038228,44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1733952,46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9623"/>
            <w:gridSpan w:val="3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2CC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  <w:t>Контур 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1038633,08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1733718,08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1038669,98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1733723,50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1038694,03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1733754,42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1038311,55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1734082,62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1038271,92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1734037,56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9623"/>
            <w:gridSpan w:val="3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2CC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  <w:t>Контур 4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1038327,25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1734102,65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1038710,00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1733776,80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1038723,39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1733814,07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1038685,76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1733846,17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1038696,04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1733858,83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1038363,77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1734145,26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9623"/>
            <w:gridSpan w:val="3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2CC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color w:val="000000"/>
                <w:sz w:val="20"/>
                <w:szCs w:val="20"/>
                <w:lang w:eastAsia="ru-RU"/>
              </w:rPr>
              <w:t>Контур 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1038378,80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1734160,65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1038708,64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1733880,82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1038711,88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1733929,89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1038696,52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1733976,86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1038568,09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1734092,10</w:t>
            </w:r>
          </w:p>
        </w:tc>
      </w:tr>
      <w:tr>
        <w:trPr>
          <w:trHeight w:hRule="atLeast" w:val="20"/>
          <w:cantSplit w:val="false"/>
        </w:trPr>
        <w:tc>
          <w:tcPr>
            <w:tcW w:type="dxa" w:w="1901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type="dxa" w:w="4137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1038427,71</w:t>
            </w:r>
          </w:p>
        </w:tc>
        <w:tc>
          <w:tcPr>
            <w:tcW w:type="dxa" w:w="3585"/>
            <w:tcBorders>
              <w:top w:color="00000A" w:space="0" w:sz="4" w:val="single"/>
              <w:left w:color="00000A" w:space="0" w:sz="4" w:val="single"/>
              <w:bottom w:color="00000A" w:space="0" w:sz="4" w:val="single"/>
              <w:right w:color="00000A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1734219,14</w:t>
            </w:r>
          </w:p>
        </w:tc>
      </w:tr>
    </w:tbl>
    <w:p>
      <w:pPr>
        <w:pStyle w:val="style0"/>
        <w:spacing w:after="0" w:before="0" w:line="300" w:lineRule="auto"/>
        <w:contextualSpacing w:val="false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style0"/>
        <w:spacing w:after="0" w:before="0" w:line="300" w:lineRule="auto"/>
        <w:contextualSpacing w:val="false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ЧАСТЬ 5. ВИД РАЗРЕШЕННОГО ИСПОЛЬЗОВАНИЯ ОБРАЗУЕМЫХ ЗЕМЕЛЬНЫХ УЧАСТКОВ, ПРЕДНАЗНАЧЕННЫХ ДЛЯ РАЗМЕЩЕНИЯ ЛИНЕЙНЫХ ОБЪЕКТОВ И ОБЪЕКТОВ КАПИТАЛЬНОГО СТРОИТЕЛЬСТВА, ПРОЕКТИРУЕМЫХ В СОСТАВЕ ЛИНЕЙНОГО ОБЪЕКТА, А ТАКЖЕ СУЩЕСТВУЮЩИХ ЗЕМЕЛЬНЫХ УЧАСТКОВ, ЗАНЯТЫХ ЛИНЕЙНЫМИ ОБЪЕКТАМИ И ОБЪЕКТАМИ КАПИТАЛЬНОГО СТРОИТЕЛЬСТВА, ВХОДЯЩИМИ В СОСТАВ ЛИНЕЙНЫХ ОБЪЕКТОВ, В СООТВЕТСТВИИ С ПРОЕКТОМ ПЛАНИРОВКИ ТЕРРИТОРИИ</w:t>
      </w:r>
    </w:p>
    <w:p>
      <w:pPr>
        <w:pStyle w:val="style0"/>
        <w:spacing w:after="0" w:before="0" w:line="300" w:lineRule="auto"/>
        <w:ind w:firstLine="709" w:left="0" w:right="0"/>
        <w:contextualSpacing w:val="false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Настоящим проектом образование земельных участков не предусмотрено.</w:t>
      </w:r>
    </w:p>
    <w:p>
      <w:pPr>
        <w:pStyle w:val="style0"/>
        <w:spacing w:after="0" w:before="0" w:line="300" w:lineRule="auto"/>
        <w:ind w:firstLine="709" w:left="0" w:right="0"/>
        <w:contextualSpacing w:val="false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Вид разрешенного использования существующих земельных участков, занятых линейными объектами, в соответствии с проектом планировки территории, указан в таблице 5.1</w:t>
      </w:r>
    </w:p>
    <w:p>
      <w:pPr>
        <w:pStyle w:val="style0"/>
        <w:spacing w:after="0" w:before="120" w:line="300" w:lineRule="auto"/>
        <w:ind w:firstLine="709" w:left="0" w:right="0"/>
        <w:contextualSpacing w:val="false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 5.1</w:t>
      </w:r>
    </w:p>
    <w:p>
      <w:pPr>
        <w:pStyle w:val="style0"/>
        <w:spacing w:after="0" w:before="0" w:line="300" w:lineRule="auto"/>
        <w:contextualSpacing w:val="false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Вид разрешенного использования существующих земельных участков, занятых линейными объектами, в соответствии с проектом планировки территории </w:t>
      </w:r>
    </w:p>
    <w:tbl>
      <w:tblPr>
        <w:jc w:val="left"/>
        <w:tblInd w:type="dxa" w:w="0"/>
        <w:tblBorders>
          <w:top w:color="000001" w:space="0" w:sz="4" w:val="single"/>
          <w:left w:color="000001" w:space="0" w:sz="4" w:val="single"/>
          <w:bottom w:color="000001" w:space="0" w:sz="4" w:val="single"/>
          <w:insideH w:color="000001" w:space="0" w:sz="4" w:val="single"/>
          <w:right w:color="000001" w:space="0" w:sz="4" w:val="single"/>
          <w:insideV w:color="000001" w:space="0" w:sz="4" w:val="single"/>
        </w:tblBorders>
        <w:tblCellMar>
          <w:top w:type="dxa" w:w="0"/>
          <w:left w:type="dxa" w:w="108"/>
          <w:bottom w:type="dxa" w:w="0"/>
          <w:right w:type="dxa" w:w="108"/>
        </w:tblCellMar>
      </w:tblPr>
      <w:tblGrid>
        <w:gridCol w:w="534"/>
        <w:gridCol w:w="2407"/>
        <w:gridCol w:w="6948"/>
      </w:tblGrid>
      <w:tr>
        <w:trPr>
          <w:cantSplit w:val="false"/>
        </w:trPr>
        <w:tc>
          <w:tcPr>
            <w:tcW w:type="dxa" w:w="534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№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п/п</w:t>
            </w:r>
          </w:p>
        </w:tc>
        <w:tc>
          <w:tcPr>
            <w:tcW w:type="dxa" w:w="2407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Кадастровый номер земельного участка</w:t>
            </w:r>
          </w:p>
        </w:tc>
        <w:tc>
          <w:tcPr>
            <w:tcW w:type="dxa" w:w="6948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Вид разрешенного использования земельного участка</w:t>
            </w:r>
          </w:p>
        </w:tc>
      </w:tr>
    </w:tbl>
    <w:p>
      <w:pPr>
        <w:pStyle w:val="style0"/>
        <w:spacing w:after="0" w:before="0" w:line="12" w:lineRule="auto"/>
        <w:contextualSpacing w:val="false"/>
        <w:rPr/>
      </w:pPr>
      <w:r>
        <w:rPr/>
      </w:r>
    </w:p>
    <w:tbl>
      <w:tblPr>
        <w:jc w:val="left"/>
        <w:tblInd w:type="dxa" w:w="0"/>
        <w:tblBorders>
          <w:top w:color="000001" w:space="0" w:sz="4" w:val="single"/>
          <w:left w:color="000001" w:space="0" w:sz="4" w:val="single"/>
          <w:bottom w:color="000001" w:space="0" w:sz="4" w:val="single"/>
          <w:insideH w:color="000001" w:space="0" w:sz="4" w:val="single"/>
          <w:right w:color="000001" w:space="0" w:sz="4" w:val="single"/>
          <w:insideV w:color="000001" w:space="0" w:sz="4" w:val="single"/>
        </w:tblBorders>
        <w:tblCellMar>
          <w:top w:type="dxa" w:w="0"/>
          <w:left w:type="dxa" w:w="108"/>
          <w:bottom w:type="dxa" w:w="0"/>
          <w:right w:type="dxa" w:w="108"/>
        </w:tblCellMar>
      </w:tblPr>
      <w:tblGrid>
        <w:gridCol w:w="534"/>
        <w:gridCol w:w="2407"/>
        <w:gridCol w:w="6948"/>
      </w:tblGrid>
      <w:tr>
        <w:trPr>
          <w:cantSplit w:val="false"/>
        </w:trPr>
        <w:tc>
          <w:tcPr>
            <w:tcW w:type="dxa" w:w="534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type="dxa" w:w="2407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type="dxa" w:w="6948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</w:tr>
      <w:tr>
        <w:trPr>
          <w:trHeight w:hRule="atLeast" w:val="567"/>
          <w:cantSplit w:val="false"/>
        </w:trPr>
        <w:tc>
          <w:tcPr>
            <w:tcW w:type="dxa" w:w="534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numPr>
                <w:ilvl w:val="0"/>
                <w:numId w:val="20"/>
              </w:numPr>
              <w:spacing w:after="0" w:before="0" w:line="100" w:lineRule="atLeast"/>
              <w:ind w:hanging="11" w:left="0" w:right="0"/>
              <w:contextualSpacing w:val="false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type="dxa" w:w="2407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86:09:0000000:1869</w:t>
            </w:r>
          </w:p>
        </w:tc>
        <w:tc>
          <w:tcPr>
            <w:tcW w:type="dxa" w:w="6948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под строительство сетей газоснабжения - трасса газопровода низкого давления (подземно) объекта " Газоснабжение п. Коммунистический Советского района"</w:t>
            </w:r>
          </w:p>
        </w:tc>
      </w:tr>
      <w:tr>
        <w:trPr>
          <w:trHeight w:hRule="atLeast" w:val="567"/>
          <w:cantSplit w:val="false"/>
        </w:trPr>
        <w:tc>
          <w:tcPr>
            <w:tcW w:type="dxa" w:w="534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numPr>
                <w:ilvl w:val="0"/>
                <w:numId w:val="20"/>
              </w:numPr>
              <w:spacing w:after="0" w:before="0" w:line="100" w:lineRule="atLeast"/>
              <w:ind w:hanging="11" w:left="0" w:right="0"/>
              <w:contextualSpacing w:val="false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type="dxa" w:w="2407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86:09:0701001:1254</w:t>
            </w:r>
          </w:p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(входит в состав ЕЗП 86:09:0000000:1742)</w:t>
            </w:r>
          </w:p>
        </w:tc>
        <w:tc>
          <w:tcPr>
            <w:tcW w:type="dxa" w:w="6948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под строительство сетей водоснабжения</w:t>
            </w:r>
          </w:p>
        </w:tc>
      </w:tr>
      <w:tr>
        <w:trPr>
          <w:trHeight w:hRule="atLeast" w:val="567"/>
          <w:cantSplit w:val="false"/>
        </w:trPr>
        <w:tc>
          <w:tcPr>
            <w:tcW w:type="dxa" w:w="534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numPr>
                <w:ilvl w:val="0"/>
                <w:numId w:val="20"/>
              </w:numPr>
              <w:spacing w:after="0" w:before="0" w:line="100" w:lineRule="atLeast"/>
              <w:ind w:hanging="11" w:left="0" w:right="0"/>
              <w:contextualSpacing w:val="false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type="dxa" w:w="2407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86:09:0000000:1873</w:t>
            </w:r>
          </w:p>
        </w:tc>
        <w:tc>
          <w:tcPr>
            <w:tcW w:type="dxa" w:w="6948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под строительство сетей газоснабжения - трасса газопровода высокого и среднего давления (подземно)объекта "Газоснабжение п.Коммунистический Советского района"</w:t>
            </w:r>
          </w:p>
        </w:tc>
      </w:tr>
      <w:tr>
        <w:trPr>
          <w:trHeight w:hRule="atLeast" w:val="567"/>
          <w:cantSplit w:val="false"/>
        </w:trPr>
        <w:tc>
          <w:tcPr>
            <w:tcW w:type="dxa" w:w="534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numPr>
                <w:ilvl w:val="0"/>
                <w:numId w:val="20"/>
              </w:numPr>
              <w:spacing w:after="0" w:before="0" w:line="100" w:lineRule="atLeast"/>
              <w:ind w:hanging="11" w:left="0" w:right="0"/>
              <w:contextualSpacing w:val="false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type="dxa" w:w="2407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86:09:0701001:353</w:t>
            </w:r>
          </w:p>
        </w:tc>
        <w:tc>
          <w:tcPr>
            <w:tcW w:type="dxa" w:w="6948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участок при квартире</w:t>
            </w:r>
          </w:p>
        </w:tc>
      </w:tr>
      <w:tr>
        <w:trPr>
          <w:trHeight w:hRule="atLeast" w:val="567"/>
          <w:cantSplit w:val="false"/>
        </w:trPr>
        <w:tc>
          <w:tcPr>
            <w:tcW w:type="dxa" w:w="534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numPr>
                <w:ilvl w:val="0"/>
                <w:numId w:val="20"/>
              </w:numPr>
              <w:spacing w:after="0" w:before="0" w:line="100" w:lineRule="atLeast"/>
              <w:ind w:hanging="11" w:left="0" w:right="0"/>
              <w:contextualSpacing w:val="false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type="dxa" w:w="2407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86:09:0701001:52</w:t>
            </w:r>
          </w:p>
        </w:tc>
        <w:tc>
          <w:tcPr>
            <w:tcW w:type="dxa" w:w="6948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участок при квартире</w:t>
            </w:r>
          </w:p>
        </w:tc>
      </w:tr>
      <w:tr>
        <w:trPr>
          <w:trHeight w:hRule="atLeast" w:val="567"/>
          <w:cantSplit w:val="false"/>
        </w:trPr>
        <w:tc>
          <w:tcPr>
            <w:tcW w:type="dxa" w:w="534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numPr>
                <w:ilvl w:val="0"/>
                <w:numId w:val="20"/>
              </w:numPr>
              <w:spacing w:after="0" w:before="0" w:line="100" w:lineRule="atLeast"/>
              <w:ind w:hanging="11" w:left="0" w:right="0"/>
              <w:contextualSpacing w:val="false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type="dxa" w:w="2407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86:09:0701001:3156</w:t>
            </w:r>
          </w:p>
        </w:tc>
        <w:tc>
          <w:tcPr>
            <w:tcW w:type="dxa" w:w="6948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под индивидуальное жилищное строительство</w:t>
            </w:r>
          </w:p>
        </w:tc>
      </w:tr>
      <w:tr>
        <w:trPr>
          <w:trHeight w:hRule="atLeast" w:val="567"/>
          <w:cantSplit w:val="false"/>
        </w:trPr>
        <w:tc>
          <w:tcPr>
            <w:tcW w:type="dxa" w:w="534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numPr>
                <w:ilvl w:val="0"/>
                <w:numId w:val="20"/>
              </w:numPr>
              <w:spacing w:after="0" w:before="0" w:line="100" w:lineRule="atLeast"/>
              <w:ind w:hanging="11" w:left="0" w:right="0"/>
              <w:contextualSpacing w:val="false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type="dxa" w:w="2407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86:09:0701001:364</w:t>
            </w:r>
          </w:p>
        </w:tc>
        <w:tc>
          <w:tcPr>
            <w:tcW w:type="dxa" w:w="6948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участок при квартире</w:t>
            </w:r>
          </w:p>
        </w:tc>
      </w:tr>
      <w:tr>
        <w:trPr>
          <w:trHeight w:hRule="atLeast" w:val="567"/>
          <w:cantSplit w:val="false"/>
        </w:trPr>
        <w:tc>
          <w:tcPr>
            <w:tcW w:type="dxa" w:w="534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numPr>
                <w:ilvl w:val="0"/>
                <w:numId w:val="20"/>
              </w:numPr>
              <w:spacing w:after="0" w:before="0" w:line="100" w:lineRule="atLeast"/>
              <w:ind w:hanging="11" w:left="0" w:right="0"/>
              <w:contextualSpacing w:val="false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type="dxa" w:w="2407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86:09:0701001:365</w:t>
            </w:r>
          </w:p>
        </w:tc>
        <w:tc>
          <w:tcPr>
            <w:tcW w:type="dxa" w:w="6948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участок при квартире</w:t>
            </w:r>
          </w:p>
        </w:tc>
      </w:tr>
      <w:tr>
        <w:trPr>
          <w:trHeight w:hRule="atLeast" w:val="567"/>
          <w:cantSplit w:val="false"/>
        </w:trPr>
        <w:tc>
          <w:tcPr>
            <w:tcW w:type="dxa" w:w="534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numPr>
                <w:ilvl w:val="0"/>
                <w:numId w:val="20"/>
              </w:numPr>
              <w:spacing w:after="0" w:before="0" w:line="100" w:lineRule="atLeast"/>
              <w:ind w:hanging="11" w:left="0" w:right="0"/>
              <w:contextualSpacing w:val="false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type="dxa" w:w="2407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86:09:0701001:142</w:t>
            </w:r>
          </w:p>
        </w:tc>
        <w:tc>
          <w:tcPr>
            <w:tcW w:type="dxa" w:w="6948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под строительство двухквартирного жилого дома</w:t>
            </w:r>
          </w:p>
        </w:tc>
      </w:tr>
      <w:tr>
        <w:trPr>
          <w:trHeight w:hRule="atLeast" w:val="567"/>
          <w:cantSplit w:val="false"/>
        </w:trPr>
        <w:tc>
          <w:tcPr>
            <w:tcW w:type="dxa" w:w="534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numPr>
                <w:ilvl w:val="0"/>
                <w:numId w:val="20"/>
              </w:numPr>
              <w:spacing w:after="0" w:before="0" w:line="100" w:lineRule="atLeast"/>
              <w:ind w:hanging="11" w:left="0" w:right="0"/>
              <w:contextualSpacing w:val="false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type="dxa" w:w="2407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86:09:0701001:1637</w:t>
            </w:r>
          </w:p>
        </w:tc>
        <w:tc>
          <w:tcPr>
            <w:tcW w:type="dxa" w:w="6948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под строительство многоквартирного жилого дома</w:t>
            </w:r>
          </w:p>
        </w:tc>
      </w:tr>
      <w:tr>
        <w:trPr>
          <w:trHeight w:hRule="atLeast" w:val="567"/>
          <w:cantSplit w:val="false"/>
        </w:trPr>
        <w:tc>
          <w:tcPr>
            <w:tcW w:type="dxa" w:w="534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numPr>
                <w:ilvl w:val="0"/>
                <w:numId w:val="20"/>
              </w:numPr>
              <w:spacing w:after="0" w:before="0" w:line="100" w:lineRule="atLeast"/>
              <w:ind w:hanging="11" w:left="0" w:right="0"/>
              <w:contextualSpacing w:val="false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type="dxa" w:w="2407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86:09:0701001:1670</w:t>
            </w:r>
          </w:p>
        </w:tc>
        <w:tc>
          <w:tcPr>
            <w:tcW w:type="dxa" w:w="6948"/>
            <w:tcBorders>
              <w:top w:color="000001" w:space="0" w:sz="4" w:val="single"/>
              <w:left w:color="000001" w:space="0" w:sz="4" w:val="single"/>
              <w:bottom w:color="000001" w:space="0" w:sz="4" w:val="single"/>
              <w:right w:color="000001" w:space="0" w:sz="4" w:val="single"/>
            </w:tcBorders>
            <w:shd w:fill="FFFFFF" w:val="clear"/>
            <w:tcMar>
              <w:left w:type="dxa" w:w="108"/>
            </w:tcMar>
          </w:tcPr>
          <w:p>
            <w:pPr>
              <w:pStyle w:val="style0"/>
              <w:spacing w:after="0" w:before="0" w:line="100" w:lineRule="atLeast"/>
              <w:contextualSpacing w:val="false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под строительство сетей тепловодоснабжения к объекту "Инженерные сети к комплексу жилых домов по ул. Лесная в п. Коммунистический Советского района"</w:t>
            </w:r>
          </w:p>
        </w:tc>
      </w:tr>
    </w:tbl>
    <w:p>
      <w:pPr>
        <w:pStyle w:val="style0"/>
        <w:spacing w:line="300" w:lineRule="auto"/>
        <w:ind w:hanging="0" w:left="-1418" w:right="0"/>
        <w:jc w:val="both"/>
        <w:rPr/>
      </w:pPr>
      <w:r>
        <w:rPr/>
        <w:drawing>
          <wp:inline distB="0" distL="0" distR="0" distT="0">
            <wp:extent cx="7543800" cy="6166485"/>
            <wp:effectExtent b="0" l="0" r="0" t="0"/>
            <wp:docPr descr="F:\Work\ЗиГ\160_01-ВХ-9718 2020-042_ППМ сети водоснабжения г.п. Коммунистический\Проект межевания территории\Раздел 1. Проект межевания. Графическая часть\ПМ 1. Чертеж межевания - копия.jpg" id="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F:\Work\ЗиГ\160_01-ВХ-9718 2020-042_ППМ сети водоснабжения г.п. Коммунистический\Проект межевания территории\Раздел 1. Проект межевания. Графическая часть\ПМ 1. Чертеж межевания - копия.jpg" id="2" name="Picture"/>
                    <pic:cNvPicPr>
                      <a:picLocks noChangeArrowheads="1"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6166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footerReference r:id="rId8" w:type="default"/>
      <w:type w:val="nextPage"/>
      <w:pgSz w:h="16838" w:w="11906"/>
      <w:pgMar w:bottom="1134" w:footer="567" w:gutter="0" w:header="0" w:left="1418" w:right="567" w:top="1134"/>
      <w:pgNumType w:fmt="decimal"/>
      <w:formProt w:val="false"/>
      <w:textDirection w:val="lrTb"/>
      <w:docGrid w:charSpace="4096" w:linePitch="299" w:type="default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Times New Roman">
    <w:charset w:val="cc"/>
    <w:family w:val="roman"/>
    <w:pitch w:val="variable"/>
  </w:font>
  <w:font w:name="Calibri">
    <w:charset w:val="cc"/>
    <w:family w:val="roman"/>
    <w:pitch w:val="variable"/>
  </w:font>
  <w:font w:name="Cambria">
    <w:charset w:val="cc"/>
    <w:family w:val="roman"/>
    <w:pitch w:val="variable"/>
  </w:font>
  <w:font w:name="Times New Roman Полужирный">
    <w:charset w:val="cc"/>
    <w:family w:val="roman"/>
    <w:pitch w:val="variable"/>
  </w:font>
  <w:font w:name="Arial">
    <w:charset w:val="cc"/>
    <w:family w:val="roman"/>
    <w:pitch w:val="variable"/>
  </w:font>
  <w:font w:name="Tahoma">
    <w:charset w:val="cc"/>
    <w:family w:val="roman"/>
    <w:pitch w:val="variable"/>
  </w:font>
  <w:font w:name="Sylfaen">
    <w:charset w:val="cc"/>
    <w:family w:val="roman"/>
    <w:pitch w:val="variable"/>
  </w:font>
  <w:font w:name="Candara">
    <w:charset w:val="cc"/>
    <w:family w:val="roman"/>
    <w:pitch w:val="variable"/>
  </w:font>
  <w:font w:name="Verdana">
    <w:charset w:val="cc"/>
    <w:family w:val="roman"/>
    <w:pitch w:val="variable"/>
  </w:font>
  <w:font w:name="Courier New">
    <w:charset w:val="cc"/>
    <w:family w:val="roman"/>
    <w:pitch w:val="variable"/>
  </w:font>
  <w:font w:name="Arial Bold">
    <w:charset w:val="cc"/>
    <w:family w:val="roman"/>
    <w:pitch w:val="variable"/>
  </w:font>
  <w:font w:name="Arial">
    <w:charset w:val="cc"/>
    <w:family w:val="swiss"/>
    <w:pitch w:val="variable"/>
  </w:font>
  <w:font w:name="Courier New">
    <w:charset w:val="01"/>
    <w:family w:val="modern"/>
    <w:pitch w:val="fixed"/>
  </w:font>
  <w:font w:name="Wingdings">
    <w:charset w:val="02"/>
    <w:family w:val="auto"/>
    <w:pitch w:val="variable"/>
  </w:font>
  <w:font w:name="Times New Roman">
    <w:charset w:val="01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style129"/>
      <w:jc w:val="right"/>
      <w:rPr>
        <w:b/>
        <w:spacing w:val="20"/>
      </w:rPr>
    </w:pPr>
    <w:r>
      <w:rPr>
        <w:b/>
        <w:spacing w:val="20"/>
      </w:rPr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style129"/>
      <w:rPr/>
    </w:pPr>
    <w:r>
      <w:rPr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style129"/>
      <w:rPr/>
    </w:pPr>
    <w:r>
      <w:rPr/>
    </w:r>
  </w:p>
</w:ftr>
</file>

<file path=word/footer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style129"/>
      <w:jc w:val="right"/>
      <w:rPr>
        <w:rFonts w:ascii="Times New Roman" w:hAnsi="Times New Roman"/>
        <w:spacing w:val="20"/>
        <w:sz w:val="24"/>
      </w:rPr>
    </w:pPr>
    <w:r>
      <w:rPr>
        <w:rFonts w:ascii="Times New Roman" w:hAnsi="Times New Roman"/>
        <w:spacing w:val="20"/>
        <w:sz w:val="24"/>
      </w:rPr>
    </w:r>
  </w:p>
</w:ftr>
</file>

<file path=word/numbering.xml><?xml version="1.0" encoding="utf-8"?>
<w:numbering xmlns:o="urn:schemas-microsoft-com:office:office" xmlns:r="http://schemas.openxmlformats.org/officeDocument/2006/relationships" xmlns:v="urn:schemas-microsoft-com:vml" xmlns:w="http://schemas.openxmlformats.org/wordprocessingml/2006/main">
  <w:abstractNum w:abstractNumId="1">
    <w:lvl w:ilvl="0">
      <w:start w:val="1"/>
      <w:numFmt w:val="decimal"/>
      <w:lvlText w:val="%1."/>
      <w:lvlJc w:val="left"/>
      <w:pPr>
        <w:ind w:hanging="360" w:left="0"/>
      </w:pPr>
      <w:rPr>
        <w:color w:val="000000"/>
        <w:dstrike w:val="false"/>
        <w:strike w:val="false"/>
        <w:vertAlign w:val="baseline"/>
        <w:position w:val="0"/>
        <w:sz w:val="24"/>
        <w:sz w:val="24"/>
        <w:i w:val="false"/>
        <w:u w:val="none"/>
        <w:b w:val="false"/>
        <w:shd w:fill="FFFFFF" w:val="clear"/>
        <w:szCs w:val="24"/>
      </w:rPr>
    </w:lvl>
    <w:lvl w:ilvl="1">
      <w:start w:val="1"/>
      <w:numFmt w:val="lowerLetter"/>
      <w:lvlText w:val="%2"/>
      <w:lvlJc w:val="left"/>
      <w:pPr>
        <w:ind w:hanging="360" w:left="1080"/>
      </w:pPr>
      <w:rPr>
        <w:color w:val="000000"/>
        <w:dstrike w:val="false"/>
        <w:strike w:val="false"/>
        <w:vertAlign w:val="baseline"/>
        <w:position w:val="0"/>
        <w:sz w:val="24"/>
        <w:sz w:val="24"/>
        <w:i w:val="false"/>
        <w:u w:val="none"/>
        <w:b w:val="false"/>
        <w:shd w:fill="FFFFFF" w:val="clear"/>
        <w:szCs w:val="24"/>
      </w:rPr>
    </w:lvl>
    <w:lvl w:ilvl="2">
      <w:start w:val="1"/>
      <w:numFmt w:val="lowerRoman"/>
      <w:lvlText w:val="%3"/>
      <w:lvlJc w:val="left"/>
      <w:pPr>
        <w:ind w:hanging="360" w:left="1800"/>
      </w:pPr>
      <w:rPr>
        <w:color w:val="000000"/>
        <w:dstrike w:val="false"/>
        <w:strike w:val="false"/>
        <w:vertAlign w:val="baseline"/>
        <w:position w:val="0"/>
        <w:sz w:val="24"/>
        <w:sz w:val="24"/>
        <w:i w:val="false"/>
        <w:u w:val="none"/>
        <w:b w:val="false"/>
        <w:shd w:fill="FFFFFF" w:val="clear"/>
        <w:szCs w:val="24"/>
      </w:rPr>
    </w:lvl>
    <w:lvl w:ilvl="3">
      <w:start w:val="1"/>
      <w:numFmt w:val="decimal"/>
      <w:lvlText w:val="%4"/>
      <w:lvlJc w:val="left"/>
      <w:pPr>
        <w:ind w:hanging="360" w:left="2520"/>
      </w:pPr>
      <w:rPr>
        <w:color w:val="000000"/>
        <w:dstrike w:val="false"/>
        <w:strike w:val="false"/>
        <w:vertAlign w:val="baseline"/>
        <w:position w:val="0"/>
        <w:sz w:val="24"/>
        <w:sz w:val="24"/>
        <w:i w:val="false"/>
        <w:u w:val="none"/>
        <w:b w:val="false"/>
        <w:shd w:fill="FFFFFF" w:val="clear"/>
        <w:szCs w:val="24"/>
      </w:rPr>
    </w:lvl>
    <w:lvl w:ilvl="4">
      <w:start w:val="1"/>
      <w:numFmt w:val="lowerLetter"/>
      <w:lvlText w:val="%5"/>
      <w:lvlJc w:val="left"/>
      <w:pPr>
        <w:ind w:hanging="360" w:left="3240"/>
      </w:pPr>
      <w:rPr>
        <w:color w:val="000000"/>
        <w:dstrike w:val="false"/>
        <w:strike w:val="false"/>
        <w:vertAlign w:val="baseline"/>
        <w:position w:val="0"/>
        <w:sz w:val="24"/>
        <w:sz w:val="24"/>
        <w:i w:val="false"/>
        <w:u w:val="none"/>
        <w:b w:val="false"/>
        <w:shd w:fill="FFFFFF" w:val="clear"/>
        <w:szCs w:val="24"/>
      </w:rPr>
    </w:lvl>
    <w:lvl w:ilvl="5">
      <w:start w:val="1"/>
      <w:numFmt w:val="lowerRoman"/>
      <w:lvlText w:val="%6"/>
      <w:lvlJc w:val="left"/>
      <w:pPr>
        <w:ind w:hanging="360" w:left="3960"/>
      </w:pPr>
      <w:rPr>
        <w:color w:val="000000"/>
        <w:dstrike w:val="false"/>
        <w:strike w:val="false"/>
        <w:vertAlign w:val="baseline"/>
        <w:position w:val="0"/>
        <w:sz w:val="24"/>
        <w:sz w:val="24"/>
        <w:i w:val="false"/>
        <w:u w:val="none"/>
        <w:b w:val="false"/>
        <w:shd w:fill="FFFFFF" w:val="clear"/>
        <w:szCs w:val="24"/>
      </w:rPr>
    </w:lvl>
    <w:lvl w:ilvl="6">
      <w:start w:val="1"/>
      <w:numFmt w:val="decimal"/>
      <w:lvlText w:val="%7"/>
      <w:lvlJc w:val="left"/>
      <w:pPr>
        <w:ind w:hanging="360" w:left="4680"/>
      </w:pPr>
      <w:rPr>
        <w:color w:val="000000"/>
        <w:dstrike w:val="false"/>
        <w:strike w:val="false"/>
        <w:vertAlign w:val="baseline"/>
        <w:position w:val="0"/>
        <w:sz w:val="24"/>
        <w:sz w:val="24"/>
        <w:i w:val="false"/>
        <w:u w:val="none"/>
        <w:b w:val="false"/>
        <w:shd w:fill="FFFFFF" w:val="clear"/>
        <w:szCs w:val="24"/>
      </w:rPr>
    </w:lvl>
    <w:lvl w:ilvl="7">
      <w:start w:val="1"/>
      <w:numFmt w:val="lowerLetter"/>
      <w:lvlText w:val="%8"/>
      <w:lvlJc w:val="left"/>
      <w:pPr>
        <w:ind w:hanging="360" w:left="5400"/>
      </w:pPr>
      <w:rPr>
        <w:color w:val="000000"/>
        <w:dstrike w:val="false"/>
        <w:strike w:val="false"/>
        <w:vertAlign w:val="baseline"/>
        <w:position w:val="0"/>
        <w:sz w:val="24"/>
        <w:sz w:val="24"/>
        <w:i w:val="false"/>
        <w:u w:val="none"/>
        <w:b w:val="false"/>
        <w:shd w:fill="FFFFFF" w:val="clear"/>
        <w:szCs w:val="24"/>
      </w:rPr>
    </w:lvl>
    <w:lvl w:ilvl="8">
      <w:start w:val="1"/>
      <w:numFmt w:val="lowerRoman"/>
      <w:lvlText w:val="%9"/>
      <w:lvlJc w:val="left"/>
      <w:pPr>
        <w:ind w:hanging="360" w:left="6120"/>
      </w:pPr>
      <w:rPr>
        <w:color w:val="000000"/>
        <w:dstrike w:val="false"/>
        <w:strike w:val="false"/>
        <w:vertAlign w:val="baseline"/>
        <w:position w:val="0"/>
        <w:sz w:val="24"/>
        <w:sz w:val="24"/>
        <w:i w:val="false"/>
        <w:u w:val="none"/>
        <w:b w:val="false"/>
        <w:shd w:fill="FFFFFF" w:val="clear"/>
        <w:szCs w:val="24"/>
      </w:rPr>
    </w:lvl>
  </w:abstractNum>
  <w:abstractNum w:abstractNumId="2">
    <w:lvl w:ilvl="0">
      <w:start w:val="1"/>
      <w:numFmt w:val="bullet"/>
      <w:lvlText w:val=""/>
      <w:lvlJc w:val="left"/>
      <w:pPr>
        <w:ind w:hanging="360" w:left="720"/>
      </w:pPr>
      <w:rPr>
        <w:rFonts w:ascii="Symbol" w:cs="Symbol" w:hAnsi="Symbol" w:hint="default"/>
        <w:vertAlign w:val="baseline"/>
        <w:position w:val="0"/>
        <w:sz w:val="22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cs="Wingdings" w:hAnsi="Wingdings" w:hint="default"/>
      </w:rPr>
    </w:lvl>
  </w:abstractNum>
  <w:abstractNum w:abstractNumId="3">
    <w:lvl w:ilvl="0">
      <w:start w:val="2"/>
      <w:numFmt w:val="decimal"/>
      <w:lvlText w:val="%1"/>
      <w:lvlJc w:val="left"/>
      <w:pPr>
        <w:ind w:hanging="360" w:left="360"/>
      </w:pPr>
    </w:lvl>
    <w:lvl w:ilvl="1">
      <w:start w:val="1"/>
      <w:numFmt w:val="decimal"/>
      <w:lvlText w:val="3.%2"/>
      <w:lvlJc w:val="left"/>
      <w:pPr>
        <w:ind w:hanging="360" w:left="1068"/>
      </w:pPr>
    </w:lvl>
    <w:lvl w:ilvl="2">
      <w:start w:val="1"/>
      <w:numFmt w:val="decimal"/>
      <w:lvlText w:val="%1.%2.%3"/>
      <w:lvlJc w:val="left"/>
      <w:pPr>
        <w:ind w:hanging="720" w:left="720"/>
      </w:pPr>
    </w:lvl>
    <w:lvl w:ilvl="3">
      <w:start w:val="1"/>
      <w:numFmt w:val="decimal"/>
      <w:lvlText w:val="%1.%2.%3.%4"/>
      <w:lvlJc w:val="left"/>
      <w:pPr>
        <w:ind w:hanging="720" w:left="720"/>
      </w:pPr>
    </w:lvl>
    <w:lvl w:ilvl="4">
      <w:start w:val="1"/>
      <w:numFmt w:val="decimal"/>
      <w:lvlText w:val="%1.%2.%3.%4.%5"/>
      <w:lvlJc w:val="left"/>
      <w:pPr>
        <w:ind w:hanging="1080" w:left="1080"/>
      </w:pPr>
    </w:lvl>
    <w:lvl w:ilvl="5">
      <w:start w:val="1"/>
      <w:numFmt w:val="decimal"/>
      <w:lvlText w:val="%1.%2.%3.%4.%5.%6"/>
      <w:lvlJc w:val="left"/>
      <w:pPr>
        <w:ind w:hanging="1080" w:left="1080"/>
      </w:pPr>
    </w:lvl>
    <w:lvl w:ilvl="6">
      <w:start w:val="1"/>
      <w:numFmt w:val="decimal"/>
      <w:lvlText w:val="%1.%2.%3.%4.%5.%6.%7"/>
      <w:lvlJc w:val="left"/>
      <w:pPr>
        <w:ind w:hanging="1440" w:left="1440"/>
      </w:pPr>
    </w:lvl>
    <w:lvl w:ilvl="7">
      <w:start w:val="1"/>
      <w:numFmt w:val="decimal"/>
      <w:lvlText w:val="%1.%2.%3.%4.%5.%6.%7.%8"/>
      <w:lvlJc w:val="left"/>
      <w:pPr>
        <w:ind w:hanging="1440" w:left="1440"/>
      </w:pPr>
    </w:lvl>
    <w:lvl w:ilvl="8">
      <w:start w:val="1"/>
      <w:numFmt w:val="decimal"/>
      <w:lvlText w:val="%1.%2.%3.%4.%5.%6.%7.%8.%9"/>
      <w:lvlJc w:val="left"/>
      <w:pPr>
        <w:ind w:hanging="1800" w:left="1800"/>
      </w:pPr>
    </w:lvl>
  </w:abstractNum>
  <w:abstractNum w:abstractNumId="4">
    <w:lvl w:ilvl="0">
      <w:start w:val="1"/>
      <w:numFmt w:val="bullet"/>
      <w:lvlText w:val="−"/>
      <w:lvlJc w:val="left"/>
      <w:pPr>
        <w:ind w:hanging="360" w:left="1429"/>
      </w:pPr>
      <w:rPr>
        <w:rFonts w:ascii="Courier New" w:cs="Courier New" w:hAnsi="Courier New" w:hint="default"/>
      </w:rPr>
    </w:lvl>
    <w:lvl w:ilvl="1">
      <w:start w:val="1"/>
      <w:numFmt w:val="bullet"/>
      <w:lvlText w:val="o"/>
      <w:lvlJc w:val="left"/>
      <w:pPr>
        <w:ind w:hanging="360" w:left="2149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2869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3589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4309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5029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5749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6469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7189"/>
      </w:pPr>
      <w:rPr>
        <w:rFonts w:ascii="Wingdings" w:cs="Wingdings" w:hAnsi="Wingdings" w:hint="default"/>
      </w:rPr>
    </w:lvl>
  </w:abstractNum>
  <w:abstractNum w:abstractNumId="5">
    <w:lvl w:ilvl="0">
      <w:start w:val="1"/>
      <w:numFmt w:val="bullet"/>
      <w:lvlText w:val=""/>
      <w:lvlJc w:val="left"/>
      <w:pPr>
        <w:ind w:hanging="360" w:left="720"/>
      </w:pPr>
      <w:rPr>
        <w:rFonts w:ascii="Symbol" w:cs="Symbol" w:hAnsi="Symbol" w:hint="default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cs="Wingdings" w:hAnsi="Wingdings" w:hint="default"/>
      </w:rPr>
    </w:lvl>
  </w:abstractNum>
  <w:abstractNum w:abstractNumId="6">
    <w:lvl w:ilvl="0">
      <w:start w:val="1"/>
      <w:numFmt w:val="bullet"/>
      <w:lvlText w:val=""/>
      <w:lvlJc w:val="left"/>
      <w:pPr>
        <w:ind w:hanging="360" w:left="2345"/>
      </w:pPr>
      <w:rPr>
        <w:rFonts w:ascii="Symbol" w:cs="Symbol" w:hAnsi="Symbol" w:hint="default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cs="Wingdings" w:hAnsi="Wingdings" w:hint="default"/>
      </w:rPr>
    </w:lvl>
  </w:abstractNum>
  <w:abstractNum w:abstractNumId="7">
    <w:lvl w:ilvl="0">
      <w:start w:val="1"/>
      <w:numFmt w:val="bullet"/>
      <w:lvlText w:val=""/>
      <w:lvlJc w:val="left"/>
      <w:pPr>
        <w:ind w:hanging="360" w:left="720"/>
      </w:pPr>
      <w:rPr>
        <w:rFonts w:ascii="Symbol" w:cs="Symbol" w:hAnsi="Symbol" w:hint="default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cs="Wingdings" w:hAnsi="Wingdings" w:hint="default"/>
      </w:rPr>
    </w:lvl>
  </w:abstractNum>
  <w:abstractNum w:abstractNumId="8">
    <w:lvl w:ilvl="0">
      <w:start w:val="1"/>
      <w:numFmt w:val="bullet"/>
      <w:lvlText w:val="−"/>
      <w:lvlJc w:val="left"/>
      <w:pPr>
        <w:ind w:hanging="360" w:left="644"/>
      </w:pPr>
      <w:rPr>
        <w:rFonts w:ascii="Courier New" w:cs="Courier New" w:hAnsi="Courier New" w:hint="default"/>
      </w:rPr>
    </w:lvl>
    <w:lvl w:ilvl="1">
      <w:start w:val="1"/>
      <w:numFmt w:val="bullet"/>
      <w:lvlText w:val="o"/>
      <w:lvlJc w:val="left"/>
      <w:pPr>
        <w:ind w:hanging="360" w:left="2149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2869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3589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4309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5029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5749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6469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7189"/>
      </w:pPr>
      <w:rPr>
        <w:rFonts w:ascii="Wingdings" w:cs="Wingdings" w:hAnsi="Wingdings" w:hint="default"/>
      </w:rPr>
    </w:lvl>
  </w:abstractNum>
  <w:abstractNum w:abstractNumId="9">
    <w:lvl w:ilvl="0">
      <w:start w:val="1"/>
      <w:numFmt w:val="bullet"/>
      <w:lvlText w:val=""/>
      <w:lvlJc w:val="left"/>
      <w:pPr>
        <w:ind w:hanging="360" w:left="1429"/>
      </w:pPr>
      <w:rPr>
        <w:rFonts w:ascii="Symbol" w:cs="Symbol" w:hAnsi="Symbol" w:hint="default"/>
      </w:rPr>
    </w:lvl>
    <w:lvl w:ilvl="1">
      <w:start w:val="1"/>
      <w:numFmt w:val="bullet"/>
      <w:lvlText w:val="o"/>
      <w:lvlJc w:val="left"/>
      <w:pPr>
        <w:ind w:hanging="360" w:left="2149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2869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3589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4309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5029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5749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6469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7189"/>
      </w:pPr>
      <w:rPr>
        <w:rFonts w:ascii="Wingdings" w:cs="Wingdings" w:hAnsi="Wingdings" w:hint="default"/>
      </w:rPr>
    </w:lvl>
  </w:abstractNum>
  <w:abstractNum w:abstractNumId="10">
    <w:lvl w:ilvl="0">
      <w:start w:val="1"/>
      <w:numFmt w:val="bullet"/>
      <w:lvlText w:val=""/>
      <w:lvlJc w:val="left"/>
      <w:pPr>
        <w:ind w:hanging="360" w:left="720"/>
      </w:pPr>
      <w:rPr>
        <w:rFonts w:ascii="Symbol" w:cs="Symbol" w:hAnsi="Symbol" w:hint="default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cs="Wingdings" w:hAnsi="Wingdings" w:hint="default"/>
      </w:rPr>
    </w:lvl>
  </w:abstractNum>
  <w:abstractNum w:abstractNumId="11">
    <w:lvl w:ilvl="0">
      <w:start w:val="1"/>
      <w:numFmt w:val="bullet"/>
      <w:lvlText w:val=""/>
      <w:lvlJc w:val="left"/>
      <w:pPr>
        <w:ind w:hanging="360" w:left="1429"/>
      </w:pPr>
      <w:rPr>
        <w:rFonts w:ascii="Symbol" w:cs="Symbol" w:hAnsi="Symbol" w:hint="default"/>
      </w:rPr>
    </w:lvl>
    <w:lvl w:ilvl="1">
      <w:start w:val="1"/>
      <w:numFmt w:val="bullet"/>
      <w:lvlText w:val="o"/>
      <w:lvlJc w:val="left"/>
      <w:pPr>
        <w:ind w:hanging="360" w:left="2149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2869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3589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4309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5029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5749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6469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7189"/>
      </w:pPr>
      <w:rPr>
        <w:rFonts w:ascii="Wingdings" w:cs="Wingdings" w:hAnsi="Wingdings" w:hint="default"/>
      </w:rPr>
    </w:lvl>
  </w:abstractNum>
  <w:abstractNum w:abstractNumId="12">
    <w:lvl w:ilvl="0">
      <w:start w:val="1"/>
      <w:numFmt w:val="bullet"/>
      <w:lvlText w:val=""/>
      <w:lvlJc w:val="left"/>
      <w:pPr>
        <w:ind w:hanging="360" w:left="1429"/>
      </w:pPr>
      <w:rPr>
        <w:rFonts w:ascii="Symbol" w:cs="Symbol" w:hAnsi="Symbol" w:hint="default"/>
      </w:rPr>
    </w:lvl>
    <w:lvl w:ilvl="1">
      <w:start w:val="1"/>
      <w:numFmt w:val="bullet"/>
      <w:lvlText w:val="o"/>
      <w:lvlJc w:val="left"/>
      <w:pPr>
        <w:ind w:hanging="360" w:left="2149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2869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3589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4309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5029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5749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6469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7189"/>
      </w:pPr>
      <w:rPr>
        <w:rFonts w:ascii="Wingdings" w:cs="Wingdings" w:hAnsi="Wingdings" w:hint="default"/>
      </w:rPr>
    </w:lvl>
  </w:abstractNum>
  <w:abstractNum w:abstractNumId="13">
    <w:lvl w:ilvl="0">
      <w:start w:val="1"/>
      <w:numFmt w:val="decimal"/>
      <w:lvlText w:val="Таблица %1 "/>
      <w:lvlJc w:val="right"/>
      <w:pPr>
        <w:tabs>
          <w:tab w:pos="1429" w:val="num"/>
        </w:tabs>
        <w:ind w:hanging="-7927" w:left="1429"/>
      </w:pPr>
      <w:rPr/>
    </w:lvl>
    <w:lvl w:ilvl="1">
      <w:start w:val="1"/>
      <w:numFmt w:val="lowerLetter"/>
      <w:lvlText w:val="%2."/>
      <w:lvlJc w:val="left"/>
      <w:pPr>
        <w:tabs>
          <w:tab w:pos="1440" w:val="num"/>
        </w:tabs>
        <w:ind w:hanging="360" w:left="1440"/>
      </w:pPr>
      <w:rPr/>
    </w:lvl>
    <w:lvl w:ilvl="2">
      <w:start w:val="1"/>
      <w:numFmt w:val="lowerRoman"/>
      <w:lvlText w:val="%3."/>
      <w:lvlJc w:val="right"/>
      <w:pPr>
        <w:tabs>
          <w:tab w:pos="2160" w:val="num"/>
        </w:tabs>
        <w:ind w:hanging="180" w:left="2160"/>
      </w:pPr>
      <w:rPr/>
    </w:lvl>
    <w:lvl w:ilvl="3">
      <w:start w:val="1"/>
      <w:numFmt w:val="decimal"/>
      <w:lvlText w:val="%4."/>
      <w:lvlJc w:val="left"/>
      <w:pPr>
        <w:tabs>
          <w:tab w:pos="2880" w:val="num"/>
        </w:tabs>
        <w:ind w:hanging="360" w:left="2880"/>
      </w:pPr>
      <w:rPr/>
    </w:lvl>
    <w:lvl w:ilvl="4">
      <w:start w:val="1"/>
      <w:numFmt w:val="lowerLetter"/>
      <w:lvlText w:val="%5."/>
      <w:lvlJc w:val="left"/>
      <w:pPr>
        <w:tabs>
          <w:tab w:pos="3600" w:val="num"/>
        </w:tabs>
        <w:ind w:hanging="360" w:left="3600"/>
      </w:pPr>
      <w:rPr/>
    </w:lvl>
    <w:lvl w:ilvl="5">
      <w:start w:val="1"/>
      <w:numFmt w:val="lowerRoman"/>
      <w:lvlText w:val="%6."/>
      <w:lvlJc w:val="right"/>
      <w:pPr>
        <w:tabs>
          <w:tab w:pos="4320" w:val="num"/>
        </w:tabs>
        <w:ind w:hanging="180" w:left="4320"/>
      </w:pPr>
      <w:rPr/>
    </w:lvl>
    <w:lvl w:ilvl="6">
      <w:start w:val="1"/>
      <w:numFmt w:val="decimal"/>
      <w:lvlText w:val="%7."/>
      <w:lvlJc w:val="left"/>
      <w:pPr>
        <w:tabs>
          <w:tab w:pos="5040" w:val="num"/>
        </w:tabs>
        <w:ind w:hanging="360" w:left="5040"/>
      </w:pPr>
      <w:rPr/>
    </w:lvl>
    <w:lvl w:ilvl="7">
      <w:start w:val="1"/>
      <w:numFmt w:val="lowerLetter"/>
      <w:lvlText w:val="%8."/>
      <w:lvlJc w:val="left"/>
      <w:pPr>
        <w:tabs>
          <w:tab w:pos="5760" w:val="num"/>
        </w:tabs>
        <w:ind w:hanging="360" w:left="5760"/>
      </w:pPr>
      <w:rPr/>
    </w:lvl>
    <w:lvl w:ilvl="8">
      <w:start w:val="1"/>
      <w:numFmt w:val="lowerRoman"/>
      <w:lvlText w:val="%9."/>
      <w:lvlJc w:val="right"/>
      <w:pPr>
        <w:tabs>
          <w:tab w:pos="6480" w:val="num"/>
        </w:tabs>
        <w:ind w:hanging="180" w:left="6480"/>
      </w:pPr>
      <w:rPr/>
    </w:lvl>
  </w:abstractNum>
  <w:abstractNum w:abstractNumId="14">
    <w:lvl w:ilvl="0">
      <w:start w:val="1"/>
      <w:numFmt w:val="bullet"/>
      <w:lvlText w:val="-"/>
      <w:lvlJc w:val="left"/>
      <w:pPr>
        <w:ind w:hanging="360" w:left="2149"/>
      </w:pPr>
      <w:rPr>
        <w:rFonts w:ascii="Courier New" w:cs="Courier New" w:hAnsi="Courier New" w:hint="default"/>
      </w:rPr>
    </w:lvl>
    <w:lvl w:ilvl="1">
      <w:start w:val="1"/>
      <w:numFmt w:val="bullet"/>
      <w:lvlText w:val="o"/>
      <w:lvlJc w:val="left"/>
      <w:pPr>
        <w:ind w:hanging="360" w:left="2869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3589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4309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5029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5749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6469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7189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7909"/>
      </w:pPr>
      <w:rPr>
        <w:rFonts w:ascii="Wingdings" w:cs="Wingdings" w:hAnsi="Wingdings" w:hint="default"/>
      </w:rPr>
    </w:lvl>
  </w:abstractNum>
  <w:abstractNum w:abstractNumId="15">
    <w:lvl w:ilvl="0">
      <w:start w:val="1"/>
      <w:numFmt w:val="bullet"/>
      <w:lvlText w:val="-"/>
      <w:lvlJc w:val="left"/>
      <w:pPr>
        <w:ind w:hanging="360" w:left="2149"/>
      </w:pPr>
      <w:rPr>
        <w:rFonts w:ascii="Courier New" w:cs="Courier New" w:hAnsi="Courier New" w:hint="default"/>
      </w:rPr>
    </w:lvl>
    <w:lvl w:ilvl="1">
      <w:start w:val="1"/>
      <w:numFmt w:val="bullet"/>
      <w:lvlText w:val="o"/>
      <w:lvlJc w:val="left"/>
      <w:pPr>
        <w:ind w:hanging="360" w:left="2869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3589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4309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5029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5749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6469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7189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7909"/>
      </w:pPr>
      <w:rPr>
        <w:rFonts w:ascii="Wingdings" w:cs="Wingdings" w:hAnsi="Wingdings" w:hint="default"/>
      </w:rPr>
    </w:lvl>
  </w:abstractNum>
  <w:abstractNum w:abstractNumId="16">
    <w:lvl w:ilvl="0">
      <w:start w:val="1"/>
      <w:numFmt w:val="bullet"/>
      <w:lvlText w:val="-"/>
      <w:lvlJc w:val="left"/>
      <w:pPr>
        <w:ind w:hanging="360" w:left="2149"/>
      </w:pPr>
      <w:rPr>
        <w:rFonts w:ascii="Courier New" w:cs="Courier New" w:hAnsi="Courier New" w:hint="default"/>
      </w:rPr>
    </w:lvl>
    <w:lvl w:ilvl="1">
      <w:start w:val="1"/>
      <w:numFmt w:val="bullet"/>
      <w:lvlText w:val="o"/>
      <w:lvlJc w:val="left"/>
      <w:pPr>
        <w:ind w:hanging="360" w:left="2869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3589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4309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5029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5749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6469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7189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7909"/>
      </w:pPr>
      <w:rPr>
        <w:rFonts w:ascii="Wingdings" w:cs="Wingdings" w:hAnsi="Wingdings" w:hint="default"/>
      </w:rPr>
    </w:lvl>
  </w:abstractNum>
  <w:abstractNum w:abstractNumId="17">
    <w:lvl w:ilvl="0">
      <w:start w:val="1"/>
      <w:numFmt w:val="bullet"/>
      <w:lvlText w:val="−"/>
      <w:lvlJc w:val="left"/>
      <w:pPr>
        <w:ind w:hanging="360" w:left="720"/>
      </w:pPr>
      <w:rPr>
        <w:rFonts w:ascii="Courier New" w:cs="Courier New" w:hAnsi="Courier New" w:hint="default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cs="Wingdings" w:hAnsi="Wingdings" w:hint="default"/>
      </w:rPr>
    </w:lvl>
  </w:abstractNum>
  <w:abstractNum w:abstractNumId="18">
    <w:lvl w:ilvl="0">
      <w:start w:val="3"/>
      <w:numFmt w:val="decimal"/>
      <w:lvlText w:val="%1"/>
      <w:lvlJc w:val="left"/>
      <w:pPr>
        <w:ind w:hanging="360" w:left="360"/>
      </w:pPr>
    </w:lvl>
    <w:lvl w:ilvl="1">
      <w:start w:val="2"/>
      <w:numFmt w:val="decimal"/>
      <w:lvlText w:val="%1.%2"/>
      <w:lvlJc w:val="left"/>
      <w:pPr>
        <w:ind w:hanging="360" w:left="360"/>
      </w:pPr>
    </w:lvl>
    <w:lvl w:ilvl="2">
      <w:start w:val="1"/>
      <w:numFmt w:val="decimal"/>
      <w:lvlText w:val="%1.%2.%3"/>
      <w:lvlJc w:val="left"/>
      <w:pPr>
        <w:ind w:hanging="720" w:left="720"/>
      </w:pPr>
    </w:lvl>
    <w:lvl w:ilvl="3">
      <w:start w:val="1"/>
      <w:numFmt w:val="decimal"/>
      <w:lvlText w:val="%1.%2.%3.%4"/>
      <w:lvlJc w:val="left"/>
      <w:pPr>
        <w:ind w:hanging="720" w:left="720"/>
      </w:pPr>
    </w:lvl>
    <w:lvl w:ilvl="4">
      <w:start w:val="1"/>
      <w:numFmt w:val="decimal"/>
      <w:lvlText w:val="%1.%2.%3.%4.%5"/>
      <w:lvlJc w:val="left"/>
      <w:pPr>
        <w:ind w:hanging="1080" w:left="1080"/>
      </w:pPr>
    </w:lvl>
    <w:lvl w:ilvl="5">
      <w:start w:val="1"/>
      <w:numFmt w:val="decimal"/>
      <w:lvlText w:val="%1.%2.%3.%4.%5.%6"/>
      <w:lvlJc w:val="left"/>
      <w:pPr>
        <w:ind w:hanging="1080" w:left="1080"/>
      </w:pPr>
    </w:lvl>
    <w:lvl w:ilvl="6">
      <w:start w:val="1"/>
      <w:numFmt w:val="decimal"/>
      <w:lvlText w:val="%1.%2.%3.%4.%5.%6.%7"/>
      <w:lvlJc w:val="left"/>
      <w:pPr>
        <w:ind w:hanging="1440" w:left="1440"/>
      </w:pPr>
    </w:lvl>
    <w:lvl w:ilvl="7">
      <w:start w:val="1"/>
      <w:numFmt w:val="decimal"/>
      <w:lvlText w:val="%1.%2.%3.%4.%5.%6.%7.%8"/>
      <w:lvlJc w:val="left"/>
      <w:pPr>
        <w:ind w:hanging="1440" w:left="1440"/>
      </w:pPr>
    </w:lvl>
    <w:lvl w:ilvl="8">
      <w:start w:val="1"/>
      <w:numFmt w:val="decimal"/>
      <w:lvlText w:val="%1.%2.%3.%4.%5.%6.%7.%8.%9"/>
      <w:lvlJc w:val="left"/>
      <w:pPr>
        <w:ind w:hanging="1800" w:left="1800"/>
      </w:pPr>
    </w:lvl>
  </w:abstractNum>
  <w:abstractNum w:abstractNumId="19">
    <w:lvl w:ilvl="0">
      <w:start w:val="65535"/>
      <w:numFmt w:val="bullet"/>
      <w:lvlText w:val="–"/>
      <w:lvlJc w:val="left"/>
      <w:pPr>
        <w:ind w:hanging="360" w:left="1429"/>
      </w:pPr>
      <w:rPr>
        <w:rFonts w:ascii="Times New Roman" w:cs="Times New Roman" w:hAnsi="Times New Roman" w:hint="default"/>
      </w:rPr>
    </w:lvl>
    <w:lvl w:ilvl="1">
      <w:start w:val="1"/>
      <w:numFmt w:val="bullet"/>
      <w:lvlText w:val="o"/>
      <w:lvlJc w:val="left"/>
      <w:pPr>
        <w:ind w:hanging="360" w:left="2149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hanging="360" w:left="2869"/>
      </w:pPr>
      <w:rPr>
        <w:rFonts w:ascii="Wingdings" w:cs="Wingdings" w:hAnsi="Wingdings" w:hint="default"/>
      </w:rPr>
    </w:lvl>
    <w:lvl w:ilvl="3">
      <w:start w:val="1"/>
      <w:numFmt w:val="bullet"/>
      <w:lvlText w:val=""/>
      <w:lvlJc w:val="left"/>
      <w:pPr>
        <w:ind w:hanging="360" w:left="3589"/>
      </w:pPr>
      <w:rPr>
        <w:rFonts w:ascii="Symbol" w:cs="Symbol" w:hAnsi="Symbol" w:hint="default"/>
      </w:rPr>
    </w:lvl>
    <w:lvl w:ilvl="4">
      <w:start w:val="1"/>
      <w:numFmt w:val="bullet"/>
      <w:lvlText w:val="o"/>
      <w:lvlJc w:val="left"/>
      <w:pPr>
        <w:ind w:hanging="360" w:left="4309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hanging="360" w:left="5029"/>
      </w:pPr>
      <w:rPr>
        <w:rFonts w:ascii="Wingdings" w:cs="Wingdings" w:hAnsi="Wingdings" w:hint="default"/>
      </w:rPr>
    </w:lvl>
    <w:lvl w:ilvl="6">
      <w:start w:val="1"/>
      <w:numFmt w:val="bullet"/>
      <w:lvlText w:val=""/>
      <w:lvlJc w:val="left"/>
      <w:pPr>
        <w:ind w:hanging="360" w:left="5749"/>
      </w:pPr>
      <w:rPr>
        <w:rFonts w:ascii="Symbol" w:cs="Symbol" w:hAnsi="Symbol" w:hint="default"/>
      </w:rPr>
    </w:lvl>
    <w:lvl w:ilvl="7">
      <w:start w:val="1"/>
      <w:numFmt w:val="bullet"/>
      <w:lvlText w:val="o"/>
      <w:lvlJc w:val="left"/>
      <w:pPr>
        <w:ind w:hanging="360" w:left="6469"/>
      </w:pPr>
      <w:rPr>
        <w:rFonts w:ascii="Courier New" w:cs="Courier New" w:hAnsi="Courier New" w:hint="default"/>
      </w:rPr>
    </w:lvl>
    <w:lvl w:ilvl="8">
      <w:start w:val="1"/>
      <w:numFmt w:val="bullet"/>
      <w:lvlText w:val=""/>
      <w:lvlJc w:val="left"/>
      <w:pPr>
        <w:ind w:hanging="360" w:left="7189"/>
      </w:pPr>
      <w:rPr>
        <w:rFonts w:ascii="Wingdings" w:cs="Wingdings" w:hAnsi="Wingdings" w:hint="default"/>
      </w:rPr>
    </w:lvl>
  </w:abstractNum>
  <w:abstractNum w:abstractNumId="20">
    <w:lvl w:ilvl="0">
      <w:start w:val="1"/>
      <w:numFmt w:val="decimal"/>
      <w:lvlText w:val="%1."/>
      <w:lvlJc w:val="left"/>
      <w:pPr>
        <w:ind w:hanging="360" w:left="720"/>
      </w:pPr>
    </w:lvl>
    <w:lvl w:ilvl="1">
      <w:start w:val="1"/>
      <w:numFmt w:val="lowerLetter"/>
      <w:lvlText w:val="%2."/>
      <w:lvlJc w:val="left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180" w:left="2160"/>
      </w:pPr>
    </w:lvl>
    <w:lvl w:ilvl="3">
      <w:start w:val="1"/>
      <w:numFmt w:val="decimal"/>
      <w:lvlText w:val="%4."/>
      <w:lvlJc w:val="left"/>
      <w:pPr>
        <w:ind w:hanging="360" w:left="2880"/>
      </w:pPr>
    </w:lvl>
    <w:lvl w:ilvl="4">
      <w:start w:val="1"/>
      <w:numFmt w:val="lowerLetter"/>
      <w:lvlText w:val="%5."/>
      <w:lvlJc w:val="left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180" w:left="4320"/>
      </w:pPr>
    </w:lvl>
    <w:lvl w:ilvl="6">
      <w:start w:val="1"/>
      <w:numFmt w:val="decimal"/>
      <w:lvlText w:val="%7."/>
      <w:lvlJc w:val="left"/>
      <w:pPr>
        <w:ind w:hanging="360" w:left="5040"/>
      </w:pPr>
    </w:lvl>
    <w:lvl w:ilvl="7">
      <w:start w:val="1"/>
      <w:numFmt w:val="lowerLetter"/>
      <w:lvlText w:val="%8."/>
      <w:lvlJc w:val="left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180" w:left="6480"/>
      </w:pPr>
    </w:lvl>
  </w:abstractNum>
  <w:abstractNum w:abstractNumId="21">
    <w:lvl w:ilvl="0">
      <w:start w:val="1"/>
      <w:numFmt w:val="none"/>
      <w:suff w:val="nothing"/>
      <w:lvlText w:val=""/>
      <w:lvlJc w:val="left"/>
      <w:pPr>
        <w:tabs>
          <w:tab w:pos="432" w:val="num"/>
        </w:tabs>
        <w:ind w:hanging="432" w:left="432"/>
      </w:pPr>
    </w:lvl>
    <w:lvl w:ilvl="1">
      <w:start w:val="1"/>
      <w:numFmt w:val="none"/>
      <w:suff w:val="nothing"/>
      <w:lvlText w:val=""/>
      <w:lvlJc w:val="left"/>
      <w:pPr>
        <w:tabs>
          <w:tab w:pos="576" w:val="num"/>
        </w:tabs>
        <w:ind w:hanging="576" w:left="576"/>
      </w:pPr>
    </w:lvl>
    <w:lvl w:ilvl="2">
      <w:start w:val="1"/>
      <w:numFmt w:val="none"/>
      <w:suff w:val="nothing"/>
      <w:lvlText w:val=""/>
      <w:lvlJc w:val="left"/>
      <w:pPr>
        <w:tabs>
          <w:tab w:pos="720" w:val="num"/>
        </w:tabs>
        <w:ind w:hanging="720" w:left="720"/>
      </w:pPr>
    </w:lvl>
    <w:lvl w:ilvl="3">
      <w:start w:val="1"/>
      <w:numFmt w:val="none"/>
      <w:suff w:val="nothing"/>
      <w:lvlText w:val=""/>
      <w:lvlJc w:val="left"/>
      <w:pPr>
        <w:tabs>
          <w:tab w:pos="864" w:val="num"/>
        </w:tabs>
        <w:ind w:hanging="864" w:left="864"/>
      </w:pPr>
    </w:lvl>
    <w:lvl w:ilvl="4">
      <w:start w:val="1"/>
      <w:numFmt w:val="none"/>
      <w:suff w:val="nothing"/>
      <w:lvlText w:val=""/>
      <w:lvlJc w:val="left"/>
      <w:pPr>
        <w:tabs>
          <w:tab w:pos="1008" w:val="num"/>
        </w:tabs>
        <w:ind w:hanging="1008" w:left="1008"/>
      </w:pPr>
    </w:lvl>
    <w:lvl w:ilvl="5">
      <w:start w:val="1"/>
      <w:numFmt w:val="none"/>
      <w:suff w:val="nothing"/>
      <w:lvlText w:val=""/>
      <w:lvlJc w:val="left"/>
      <w:pPr>
        <w:tabs>
          <w:tab w:pos="1152" w:val="num"/>
        </w:tabs>
        <w:ind w:hanging="1152" w:left="1152"/>
      </w:pPr>
    </w:lvl>
    <w:lvl w:ilvl="6">
      <w:start w:val="1"/>
      <w:numFmt w:val="none"/>
      <w:suff w:val="nothing"/>
      <w:lvlText w:val=""/>
      <w:lvlJc w:val="left"/>
      <w:pPr>
        <w:tabs>
          <w:tab w:pos="1296" w:val="num"/>
        </w:tabs>
        <w:ind w:hanging="1296" w:left="1296"/>
      </w:pPr>
    </w:lvl>
    <w:lvl w:ilvl="7">
      <w:start w:val="1"/>
      <w:numFmt w:val="none"/>
      <w:suff w:val="nothing"/>
      <w:lvlText w:val=""/>
      <w:lvlJc w:val="left"/>
      <w:pPr>
        <w:tabs>
          <w:tab w:pos="1440" w:val="num"/>
        </w:tabs>
        <w:ind w:hanging="1440" w:left="1440"/>
      </w:pPr>
    </w:lvl>
    <w:lvl w:ilvl="8">
      <w:start w:val="1"/>
      <w:numFmt w:val="none"/>
      <w:suff w:val="nothing"/>
      <w:lvlText w:val=""/>
      <w:lvlJc w:val="left"/>
      <w:pPr>
        <w:tabs>
          <w:tab w:pos="1584" w:val="num"/>
        </w:tabs>
        <w:ind w:hanging="1584" w:left="1584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</w:numbering>
</file>

<file path=word/settings.xml><?xml version="1.0" encoding="utf-8"?>
<w:settings xmlns:w="http://schemas.openxmlformats.org/wordprocessingml/2006/main">
  <w:zoom w:percent="100"/>
  <w:defaultTabStop w:val="709"/>
</w:settings>
</file>

<file path=word/styles.xml><?xml version="1.0" encoding="utf-8"?>
<w:styles xmlns:w="http://schemas.openxmlformats.org/wordprocessingml/2006/main">
  <w:style w:styleId="style0" w:type="paragraph">
    <w:name w:val="Normal"/>
    <w:next w:val="style0"/>
    <w:pPr>
      <w:widowControl/>
      <w:suppressAutoHyphens w:val="true"/>
      <w:spacing w:after="200" w:before="0" w:line="276" w:lineRule="auto"/>
      <w:contextualSpacing w:val="false"/>
    </w:pPr>
    <w:rPr>
      <w:rFonts w:ascii="Calibri" w:cs="Times New Roman" w:eastAsia="Calibri" w:hAnsi="Calibri"/>
      <w:color w:val="auto"/>
      <w:sz w:val="22"/>
      <w:szCs w:val="22"/>
      <w:lang w:bidi="ar-SA" w:eastAsia="en-US" w:val="ru-RU"/>
    </w:rPr>
  </w:style>
  <w:style w:styleId="style1" w:type="paragraph">
    <w:name w:val="Заголовок 1"/>
    <w:basedOn w:val="style0"/>
    <w:next w:val="style1"/>
    <w:pPr>
      <w:keepNext/>
      <w:keepLines/>
      <w:spacing w:after="0" w:before="480"/>
      <w:contextualSpacing w:val="false"/>
    </w:pPr>
    <w:rPr>
      <w:rFonts w:ascii="Cambria" w:eastAsia="Times New Roman" w:hAnsi="Cambria"/>
      <w:b/>
      <w:bCs/>
      <w:color w:val="365F91"/>
      <w:sz w:val="28"/>
      <w:szCs w:val="28"/>
      <w:lang w:eastAsia="ru-RU" w:val="ru-RU"/>
    </w:rPr>
  </w:style>
  <w:style w:styleId="style2" w:type="paragraph">
    <w:name w:val="Заголовок 2"/>
    <w:basedOn w:val="style0"/>
    <w:next w:val="style2"/>
    <w:pPr>
      <w:keepNext/>
      <w:keepLines/>
      <w:spacing w:after="0" w:before="120" w:line="300" w:lineRule="auto"/>
      <w:contextualSpacing w:val="false"/>
    </w:pPr>
    <w:rPr>
      <w:rFonts w:ascii="Times New Roman Полужирный" w:eastAsia="Times New Roman" w:hAnsi="Times New Roman Полужирный"/>
      <w:b/>
      <w:bCs/>
      <w:caps/>
      <w:sz w:val="24"/>
      <w:szCs w:val="26"/>
      <w:lang w:eastAsia="ru-RU" w:val="ru-RU"/>
    </w:rPr>
  </w:style>
  <w:style w:styleId="style3" w:type="paragraph">
    <w:name w:val="Заголовок 3"/>
    <w:basedOn w:val="style0"/>
    <w:next w:val="style3"/>
    <w:pPr>
      <w:keepNext/>
      <w:spacing w:after="60" w:before="240"/>
      <w:contextualSpacing w:val="false"/>
    </w:pPr>
    <w:rPr>
      <w:rFonts w:ascii="Cambria" w:eastAsia="Times New Roman" w:hAnsi="Cambria"/>
      <w:b/>
      <w:bCs/>
      <w:sz w:val="26"/>
      <w:szCs w:val="26"/>
      <w:lang w:val="ru-RU"/>
    </w:rPr>
  </w:style>
  <w:style w:styleId="style4" w:type="paragraph">
    <w:name w:val="Заголовок 4"/>
    <w:basedOn w:val="style0"/>
    <w:next w:val="style4"/>
    <w:pPr>
      <w:keepNext/>
      <w:spacing w:after="60" w:before="240"/>
      <w:contextualSpacing w:val="false"/>
    </w:pPr>
    <w:rPr>
      <w:rFonts w:eastAsia="Times New Roman"/>
      <w:b/>
      <w:bCs/>
      <w:sz w:val="28"/>
      <w:szCs w:val="28"/>
      <w:lang w:val="ru-RU"/>
    </w:rPr>
  </w:style>
  <w:style w:styleId="style5" w:type="paragraph">
    <w:name w:val="Заголовок 5"/>
    <w:basedOn w:val="style0"/>
    <w:next w:val="style5"/>
    <w:pPr>
      <w:tabs>
        <w:tab w:leader="none" w:pos="1701" w:val="left"/>
      </w:tabs>
      <w:spacing w:after="60" w:before="240" w:line="100" w:lineRule="atLeast"/>
      <w:ind w:firstLine="567" w:left="0" w:right="0"/>
      <w:contextualSpacing w:val="false"/>
    </w:pPr>
    <w:rPr>
      <w:rFonts w:ascii="Times New Roman" w:eastAsia="Times New Roman" w:hAnsi="Times New Roman"/>
      <w:b/>
      <w:bCs/>
      <w:iCs/>
      <w:lang w:eastAsia="ru-RU" w:val="ru-RU"/>
    </w:rPr>
  </w:style>
  <w:style w:styleId="style6" w:type="paragraph">
    <w:name w:val="Заголовок 6"/>
    <w:basedOn w:val="style0"/>
    <w:next w:val="style6"/>
    <w:pPr>
      <w:spacing w:after="60" w:before="240" w:line="100" w:lineRule="atLeast"/>
      <w:ind w:firstLine="567" w:left="0" w:right="0"/>
      <w:contextualSpacing w:val="false"/>
    </w:pPr>
    <w:rPr>
      <w:rFonts w:ascii="Times New Roman" w:eastAsia="Times New Roman" w:hAnsi="Times New Roman"/>
      <w:b/>
      <w:bCs/>
      <w:lang w:eastAsia="ru-RU" w:val="ru-RU"/>
    </w:rPr>
  </w:style>
  <w:style w:styleId="style7" w:type="paragraph">
    <w:name w:val="Заголовок 7"/>
    <w:basedOn w:val="style0"/>
    <w:next w:val="style7"/>
    <w:pPr>
      <w:spacing w:after="60" w:before="240" w:line="100" w:lineRule="atLeast"/>
      <w:ind w:firstLine="567" w:left="0" w:right="0"/>
      <w:contextualSpacing w:val="false"/>
    </w:pPr>
    <w:rPr>
      <w:rFonts w:ascii="Times New Roman" w:eastAsia="Times New Roman" w:hAnsi="Times New Roman"/>
      <w:sz w:val="24"/>
      <w:szCs w:val="24"/>
      <w:lang w:eastAsia="ru-RU" w:val="ru-RU"/>
    </w:rPr>
  </w:style>
  <w:style w:styleId="style8" w:type="paragraph">
    <w:name w:val="Заголовок 8"/>
    <w:basedOn w:val="style0"/>
    <w:next w:val="style8"/>
    <w:pPr>
      <w:spacing w:after="60" w:before="240" w:line="100" w:lineRule="atLeast"/>
      <w:ind w:firstLine="567" w:left="0" w:right="0"/>
      <w:contextualSpacing w:val="false"/>
    </w:pPr>
    <w:rPr>
      <w:rFonts w:ascii="Times New Roman" w:eastAsia="Times New Roman" w:hAnsi="Times New Roman"/>
      <w:i/>
      <w:iCs/>
      <w:sz w:val="24"/>
      <w:szCs w:val="24"/>
      <w:lang w:eastAsia="ru-RU" w:val="ru-RU"/>
    </w:rPr>
  </w:style>
  <w:style w:styleId="style9" w:type="paragraph">
    <w:name w:val="Заголовок 9"/>
    <w:basedOn w:val="style0"/>
    <w:next w:val="style9"/>
    <w:pPr>
      <w:spacing w:after="60" w:before="240" w:line="100" w:lineRule="atLeast"/>
      <w:ind w:firstLine="567" w:left="0" w:right="0"/>
      <w:contextualSpacing w:val="false"/>
    </w:pPr>
    <w:rPr>
      <w:rFonts w:ascii="Arial" w:eastAsia="Times New Roman" w:hAnsi="Arial"/>
      <w:lang w:eastAsia="ru-RU" w:val="ru-RU"/>
    </w:rPr>
  </w:style>
  <w:style w:styleId="style15" w:type="character">
    <w:name w:val="Default Paragraph Font"/>
    <w:next w:val="style15"/>
    <w:rPr/>
  </w:style>
  <w:style w:styleId="style16" w:type="character">
    <w:name w:val="Заголовок 1 Знак"/>
    <w:basedOn w:val="style15"/>
    <w:next w:val="style16"/>
    <w:rPr>
      <w:rFonts w:ascii="Cambria" w:cs="Times New Roman" w:eastAsia="Times New Roman" w:hAnsi="Cambria"/>
      <w:b/>
      <w:bCs/>
      <w:color w:val="365F91"/>
      <w:sz w:val="28"/>
      <w:szCs w:val="28"/>
      <w:lang w:eastAsia="ru-RU" w:val="ru-RU"/>
    </w:rPr>
  </w:style>
  <w:style w:styleId="style17" w:type="character">
    <w:name w:val="Заголовок 2 Знак"/>
    <w:basedOn w:val="style15"/>
    <w:next w:val="style17"/>
    <w:rPr>
      <w:rFonts w:ascii="Times New Roman Полужирный" w:cs="Times New Roman" w:eastAsia="Times New Roman" w:hAnsi="Times New Roman Полужирный"/>
      <w:b/>
      <w:bCs/>
      <w:caps/>
      <w:sz w:val="24"/>
      <w:szCs w:val="26"/>
      <w:lang w:eastAsia="ru-RU" w:val="ru-RU"/>
    </w:rPr>
  </w:style>
  <w:style w:styleId="style18" w:type="character">
    <w:name w:val="Заголовок 3 Знак"/>
    <w:basedOn w:val="style15"/>
    <w:next w:val="style18"/>
    <w:rPr>
      <w:rFonts w:ascii="Cambria" w:cs="Times New Roman" w:eastAsia="Times New Roman" w:hAnsi="Cambria"/>
      <w:b/>
      <w:bCs/>
      <w:sz w:val="26"/>
      <w:szCs w:val="26"/>
      <w:lang w:val="ru-RU"/>
    </w:rPr>
  </w:style>
  <w:style w:styleId="style19" w:type="character">
    <w:name w:val="Заголовок 4 Знак"/>
    <w:basedOn w:val="style15"/>
    <w:next w:val="style19"/>
    <w:rPr>
      <w:rFonts w:ascii="Calibri" w:cs="Times New Roman" w:eastAsia="Times New Roman" w:hAnsi="Calibri"/>
      <w:b/>
      <w:bCs/>
      <w:sz w:val="28"/>
      <w:szCs w:val="28"/>
      <w:lang w:val="ru-RU"/>
    </w:rPr>
  </w:style>
  <w:style w:styleId="style20" w:type="character">
    <w:name w:val="Заголовок 5 Знак"/>
    <w:basedOn w:val="style15"/>
    <w:next w:val="style20"/>
    <w:rPr>
      <w:rFonts w:ascii="Times New Roman" w:cs="Times New Roman" w:eastAsia="Times New Roman" w:hAnsi="Times New Roman"/>
      <w:b/>
      <w:bCs/>
      <w:iCs/>
      <w:lang w:eastAsia="ru-RU" w:val="ru-RU"/>
    </w:rPr>
  </w:style>
  <w:style w:styleId="style21" w:type="character">
    <w:name w:val="Заголовок 6 Знак"/>
    <w:basedOn w:val="style15"/>
    <w:next w:val="style21"/>
    <w:rPr>
      <w:rFonts w:ascii="Times New Roman" w:cs="Times New Roman" w:eastAsia="Times New Roman" w:hAnsi="Times New Roman"/>
      <w:b/>
      <w:bCs/>
      <w:lang w:eastAsia="ru-RU" w:val="ru-RU"/>
    </w:rPr>
  </w:style>
  <w:style w:styleId="style22" w:type="character">
    <w:name w:val="Заголовок 7 Знак"/>
    <w:basedOn w:val="style15"/>
    <w:next w:val="style22"/>
    <w:rPr>
      <w:rFonts w:ascii="Times New Roman" w:cs="Times New Roman" w:eastAsia="Times New Roman" w:hAnsi="Times New Roman"/>
      <w:sz w:val="24"/>
      <w:szCs w:val="24"/>
      <w:lang w:eastAsia="ru-RU" w:val="ru-RU"/>
    </w:rPr>
  </w:style>
  <w:style w:styleId="style23" w:type="character">
    <w:name w:val="Заголовок 8 Знак"/>
    <w:basedOn w:val="style15"/>
    <w:next w:val="style23"/>
    <w:rPr>
      <w:rFonts w:ascii="Times New Roman" w:cs="Times New Roman" w:eastAsia="Times New Roman" w:hAnsi="Times New Roman"/>
      <w:i/>
      <w:iCs/>
      <w:sz w:val="24"/>
      <w:szCs w:val="24"/>
      <w:lang w:eastAsia="ru-RU" w:val="ru-RU"/>
    </w:rPr>
  </w:style>
  <w:style w:styleId="style24" w:type="character">
    <w:name w:val="Заголовок 9 Знак"/>
    <w:basedOn w:val="style15"/>
    <w:next w:val="style24"/>
    <w:rPr>
      <w:rFonts w:ascii="Arial" w:cs="Times New Roman" w:eastAsia="Times New Roman" w:hAnsi="Arial"/>
      <w:lang w:eastAsia="ru-RU" w:val="ru-RU"/>
    </w:rPr>
  </w:style>
  <w:style w:styleId="style25" w:type="character">
    <w:name w:val="Текст выноски Знак"/>
    <w:basedOn w:val="style15"/>
    <w:next w:val="style25"/>
    <w:rPr>
      <w:rFonts w:ascii="Tahoma" w:cs="Tahoma" w:eastAsia="Calibri" w:hAnsi="Tahoma"/>
      <w:sz w:val="16"/>
      <w:szCs w:val="16"/>
    </w:rPr>
  </w:style>
  <w:style w:styleId="style26" w:type="character">
    <w:name w:val="Абзац списка Знак"/>
    <w:next w:val="style26"/>
    <w:rPr>
      <w:rFonts w:ascii="Calibri" w:cs="Times New Roman" w:eastAsia="Calibri" w:hAnsi="Calibri"/>
    </w:rPr>
  </w:style>
  <w:style w:styleId="style27" w:type="character">
    <w:name w:val="Верхний колонтитул Знак"/>
    <w:basedOn w:val="style15"/>
    <w:next w:val="style27"/>
    <w:rPr>
      <w:rFonts w:ascii="Calibri" w:cs="Times New Roman" w:eastAsia="Calibri" w:hAnsi="Calibri"/>
    </w:rPr>
  </w:style>
  <w:style w:styleId="style28" w:type="character">
    <w:name w:val="Нижний колонтитул Знак"/>
    <w:basedOn w:val="style15"/>
    <w:next w:val="style28"/>
    <w:rPr>
      <w:rFonts w:ascii="Calibri" w:cs="Times New Roman" w:eastAsia="Calibri" w:hAnsi="Calibri"/>
    </w:rPr>
  </w:style>
  <w:style w:styleId="style29" w:type="character">
    <w:name w:val="Без интервала Знак"/>
    <w:next w:val="style29"/>
    <w:rPr>
      <w:rFonts w:ascii="Calibri" w:cs="Times New Roman" w:eastAsia="Times New Roman" w:hAnsi="Calibri"/>
    </w:rPr>
  </w:style>
  <w:style w:styleId="style30" w:type="character">
    <w:name w:val="Схема документа Знак"/>
    <w:basedOn w:val="style15"/>
    <w:next w:val="style30"/>
    <w:rPr>
      <w:rFonts w:ascii="Tahoma" w:cs="Times New Roman" w:eastAsia="Calibri" w:hAnsi="Tahoma"/>
      <w:sz w:val="16"/>
      <w:szCs w:val="16"/>
      <w:lang w:eastAsia="ru-RU" w:val="ru-RU"/>
    </w:rPr>
  </w:style>
  <w:style w:styleId="style31" w:type="character">
    <w:name w:val="Основной текст Знак"/>
    <w:basedOn w:val="style15"/>
    <w:next w:val="style31"/>
    <w:rPr>
      <w:rFonts w:ascii="Times New Roman" w:cs="Times New Roman" w:eastAsia="Calibri" w:hAnsi="Times New Roman"/>
      <w:bCs/>
      <w:sz w:val="24"/>
      <w:szCs w:val="20"/>
      <w:lang w:eastAsia="ru-RU" w:val="ru-RU"/>
    </w:rPr>
  </w:style>
  <w:style w:styleId="style32" w:type="character">
    <w:name w:val="Название Знак"/>
    <w:basedOn w:val="style15"/>
    <w:next w:val="style32"/>
    <w:rPr>
      <w:rFonts w:ascii="Times New Roman" w:cs="Times New Roman" w:eastAsia="Times New Roman" w:hAnsi="Times New Roman"/>
      <w:bCs/>
      <w:i/>
      <w:sz w:val="24"/>
      <w:szCs w:val="52"/>
      <w:lang w:eastAsia="ru-RU" w:val="ru-RU"/>
    </w:rPr>
  </w:style>
  <w:style w:styleId="style33" w:type="character">
    <w:name w:val="S_Маркированный Знак1"/>
    <w:next w:val="style33"/>
    <w:rPr>
      <w:rFonts w:ascii="Times New Roman" w:cs="Times New Roman" w:eastAsia="Times New Roman" w:hAnsi="Times New Roman"/>
      <w:bCs/>
      <w:color w:val="000000"/>
      <w:sz w:val="24"/>
      <w:szCs w:val="24"/>
      <w:lang w:eastAsia="ru-RU" w:val="ru-RU"/>
    </w:rPr>
  </w:style>
  <w:style w:styleId="style34" w:type="character">
    <w:name w:val="apple-converted-space"/>
    <w:basedOn w:val="style15"/>
    <w:next w:val="style34"/>
    <w:rPr/>
  </w:style>
  <w:style w:styleId="style35" w:type="character">
    <w:name w:val="Основной текст 2 Знак"/>
    <w:next w:val="style35"/>
    <w:rPr>
      <w:rFonts w:ascii="Arial" w:hAnsi="Arial"/>
    </w:rPr>
  </w:style>
  <w:style w:styleId="style36" w:type="character">
    <w:name w:val="spelle"/>
    <w:basedOn w:val="style15"/>
    <w:next w:val="style36"/>
    <w:rPr/>
  </w:style>
  <w:style w:styleId="style37" w:type="character">
    <w:name w:val="Выделение"/>
    <w:next w:val="style37"/>
    <w:rPr>
      <w:i/>
      <w:iCs/>
    </w:rPr>
  </w:style>
  <w:style w:styleId="style38" w:type="character">
    <w:name w:val="dropcap"/>
    <w:basedOn w:val="style15"/>
    <w:next w:val="style38"/>
    <w:rPr/>
  </w:style>
  <w:style w:styleId="style39" w:type="character">
    <w:name w:val="Heading #1 (2)_"/>
    <w:next w:val="style39"/>
    <w:rPr>
      <w:rFonts w:ascii="Calibri" w:cs="Calibri" w:eastAsia="Calibri" w:hAnsi="Calibri"/>
      <w:sz w:val="19"/>
      <w:szCs w:val="19"/>
      <w:shd w:fill="FFFFFF" w:val="clear"/>
    </w:rPr>
  </w:style>
  <w:style w:styleId="style40" w:type="character">
    <w:name w:val="Heading #1_"/>
    <w:next w:val="style40"/>
    <w:rPr>
      <w:rFonts w:ascii="Sylfaen" w:cs="Sylfaen" w:eastAsia="Sylfaen" w:hAnsi="Sylfaen"/>
      <w:spacing w:val="-10"/>
      <w:sz w:val="19"/>
      <w:szCs w:val="19"/>
      <w:shd w:fill="FFFFFF" w:val="clear"/>
    </w:rPr>
  </w:style>
  <w:style w:styleId="style41" w:type="character">
    <w:name w:val="Body text_"/>
    <w:next w:val="style41"/>
    <w:rPr>
      <w:rFonts w:ascii="Sylfaen" w:cs="Sylfaen" w:eastAsia="Sylfaen" w:hAnsi="Sylfaen"/>
      <w:sz w:val="19"/>
      <w:szCs w:val="19"/>
      <w:shd w:fill="FFFFFF" w:val="clear"/>
    </w:rPr>
  </w:style>
  <w:style w:styleId="style42" w:type="character">
    <w:name w:val="Table caption_"/>
    <w:next w:val="style42"/>
    <w:rPr>
      <w:rFonts w:ascii="Sylfaen" w:cs="Sylfaen" w:eastAsia="Sylfaen" w:hAnsi="Sylfaen"/>
      <w:sz w:val="19"/>
      <w:szCs w:val="19"/>
      <w:shd w:fill="FFFFFF" w:val="clear"/>
    </w:rPr>
  </w:style>
  <w:style w:styleId="style43" w:type="character">
    <w:name w:val="Font Style11"/>
    <w:next w:val="style43"/>
    <w:rPr>
      <w:rFonts w:ascii="Times New Roman" w:cs="Times New Roman" w:hAnsi="Times New Roman"/>
      <w:b/>
      <w:bCs/>
      <w:sz w:val="22"/>
      <w:szCs w:val="22"/>
    </w:rPr>
  </w:style>
  <w:style w:styleId="style44" w:type="character">
    <w:name w:val="Font Style12"/>
    <w:next w:val="style44"/>
    <w:rPr>
      <w:rFonts w:ascii="Times New Roman" w:cs="Times New Roman" w:hAnsi="Times New Roman"/>
      <w:sz w:val="26"/>
      <w:szCs w:val="26"/>
    </w:rPr>
  </w:style>
  <w:style w:styleId="style45" w:type="character">
    <w:name w:val="page number"/>
    <w:basedOn w:val="style15"/>
    <w:next w:val="style45"/>
    <w:rPr/>
  </w:style>
  <w:style w:styleId="style46" w:type="character">
    <w:name w:val="Font Style13"/>
    <w:next w:val="style46"/>
    <w:rPr>
      <w:rFonts w:ascii="Times New Roman" w:cs="Times New Roman" w:hAnsi="Times New Roman"/>
      <w:sz w:val="26"/>
      <w:szCs w:val="26"/>
    </w:rPr>
  </w:style>
  <w:style w:styleId="style47" w:type="character">
    <w:name w:val="ConsPlusNormal Знак"/>
    <w:next w:val="style47"/>
    <w:rPr>
      <w:rFonts w:ascii="Arial" w:cs="Arial" w:eastAsia="Times New Roman" w:hAnsi="Arial"/>
      <w:sz w:val="20"/>
      <w:szCs w:val="20"/>
      <w:lang w:eastAsia="ru-RU"/>
    </w:rPr>
  </w:style>
  <w:style w:styleId="style48" w:type="character">
    <w:name w:val="highlight"/>
    <w:basedOn w:val="style15"/>
    <w:next w:val="style48"/>
    <w:rPr/>
  </w:style>
  <w:style w:styleId="style49" w:type="character">
    <w:name w:val="Placeholder Text"/>
    <w:next w:val="style49"/>
    <w:rPr>
      <w:color w:val="808080"/>
    </w:rPr>
  </w:style>
  <w:style w:styleId="style50" w:type="character">
    <w:name w:val="Normal Знак"/>
    <w:next w:val="style50"/>
    <w:rPr>
      <w:rFonts w:ascii="Times New Roman" w:cs="Times New Roman" w:eastAsia="Times New Roman" w:hAnsi="Times New Roman"/>
      <w:szCs w:val="20"/>
      <w:lang w:eastAsia="ru-RU"/>
    </w:rPr>
  </w:style>
  <w:style w:styleId="style51" w:type="character">
    <w:name w:val="_ЗАГОЛОВОК 1 Знак"/>
    <w:next w:val="style51"/>
    <w:rPr>
      <w:rFonts w:ascii="Times New Roman" w:cs="Times New Roman" w:eastAsia="Times New Roman" w:hAnsi="Times New Roman"/>
      <w:b/>
      <w:bCs/>
      <w:sz w:val="24"/>
      <w:szCs w:val="24"/>
      <w:lang w:eastAsia="ru-RU" w:val="ru-RU"/>
    </w:rPr>
  </w:style>
  <w:style w:styleId="style52" w:type="character">
    <w:name w:val="Текст концевой сноски Знак"/>
    <w:basedOn w:val="style15"/>
    <w:next w:val="style52"/>
    <w:rPr>
      <w:rFonts w:ascii="Calibri" w:cs="Times New Roman" w:eastAsia="Calibri" w:hAnsi="Calibri"/>
      <w:sz w:val="20"/>
      <w:szCs w:val="20"/>
      <w:lang w:val="ru-RU"/>
    </w:rPr>
  </w:style>
  <w:style w:styleId="style53" w:type="character">
    <w:name w:val="endnote reference"/>
    <w:next w:val="style53"/>
    <w:rPr>
      <w:vertAlign w:val="superscript"/>
    </w:rPr>
  </w:style>
  <w:style w:styleId="style54" w:type="character">
    <w:name w:val="Интернет-ссылка"/>
    <w:next w:val="style54"/>
    <w:rPr>
      <w:color w:val="0000FF"/>
      <w:u w:val="single"/>
      <w:lang w:bidi="zxx-" w:eastAsia="zxx-" w:val="zxx-"/>
    </w:rPr>
  </w:style>
  <w:style w:styleId="style55" w:type="character">
    <w:name w:val="Основной текст с отступом 3 Знак"/>
    <w:basedOn w:val="style15"/>
    <w:next w:val="style55"/>
    <w:rPr>
      <w:rFonts w:ascii="Calibri" w:cs="Times New Roman" w:eastAsia="Calibri" w:hAnsi="Calibri"/>
      <w:sz w:val="16"/>
      <w:szCs w:val="16"/>
      <w:lang w:val="ru-RU"/>
    </w:rPr>
  </w:style>
  <w:style w:styleId="style56" w:type="character">
    <w:name w:val="S_Маркированный Знак"/>
    <w:next w:val="style56"/>
    <w:rPr>
      <w:sz w:val="24"/>
      <w:szCs w:val="24"/>
    </w:rPr>
  </w:style>
  <w:style w:styleId="style57" w:type="character">
    <w:name w:val="Абзац Знак"/>
    <w:next w:val="style57"/>
    <w:rPr>
      <w:rFonts w:ascii="Times New Roman" w:cs="Times New Roman" w:eastAsia="Times New Roman" w:hAnsi="Times New Roman"/>
      <w:sz w:val="24"/>
      <w:szCs w:val="24"/>
      <w:lang w:eastAsia="ru-RU" w:val="ru-RU"/>
    </w:rPr>
  </w:style>
  <w:style w:styleId="style58" w:type="character">
    <w:name w:val="Обычный в таблице Знак"/>
    <w:next w:val="style58"/>
    <w:rPr>
      <w:rFonts w:ascii="Times New Roman" w:cs="Times New Roman" w:eastAsia="Times New Roman" w:hAnsi="Times New Roman"/>
      <w:sz w:val="28"/>
      <w:szCs w:val="28"/>
      <w:lang w:eastAsia="ar-SA" w:val="ru-RU"/>
    </w:rPr>
  </w:style>
  <w:style w:styleId="style59" w:type="character">
    <w:name w:val="Список Знак"/>
    <w:next w:val="style59"/>
    <w:rPr>
      <w:rFonts w:ascii="Times New Roman" w:cs="Times New Roman" w:eastAsia="Times New Roman" w:hAnsi="Times New Roman"/>
      <w:sz w:val="24"/>
      <w:szCs w:val="24"/>
      <w:lang w:eastAsia="ru-RU" w:val="ru-RU"/>
    </w:rPr>
  </w:style>
  <w:style w:styleId="style60" w:type="character">
    <w:name w:val="Intense Emphasis"/>
    <w:next w:val="style60"/>
    <w:rPr>
      <w:b/>
      <w:bCs/>
      <w:i/>
      <w:iCs/>
      <w:color w:val="4F81BD"/>
      <w:sz w:val="22"/>
      <w:szCs w:val="22"/>
    </w:rPr>
  </w:style>
  <w:style w:styleId="style61" w:type="character">
    <w:name w:val="S_Обычный Знак"/>
    <w:next w:val="style61"/>
    <w:rPr>
      <w:rFonts w:ascii="Times New Roman" w:cs="Times New Roman" w:eastAsia="Times New Roman" w:hAnsi="Times New Roman"/>
      <w:sz w:val="24"/>
      <w:szCs w:val="24"/>
      <w:lang w:eastAsia="ru-RU" w:val="ru-RU"/>
    </w:rPr>
  </w:style>
  <w:style w:styleId="style62" w:type="character">
    <w:name w:val="S_Обычный в таблице Знак"/>
    <w:next w:val="style62"/>
    <w:rPr>
      <w:rFonts w:ascii="Times New Roman" w:cs="Times New Roman" w:eastAsia="Times New Roman" w:hAnsi="Times New Roman"/>
      <w:sz w:val="24"/>
      <w:szCs w:val="24"/>
      <w:lang w:eastAsia="ru-RU" w:val="ru-RU"/>
    </w:rPr>
  </w:style>
  <w:style w:styleId="style63" w:type="character">
    <w:name w:val="Заголовок №2_"/>
    <w:next w:val="style63"/>
    <w:rPr>
      <w:rFonts w:ascii="Times New Roman" w:hAnsi="Times New Roman"/>
      <w:b/>
      <w:bCs/>
      <w:sz w:val="27"/>
      <w:szCs w:val="27"/>
      <w:shd w:fill="FFFFFF" w:val="clear"/>
    </w:rPr>
  </w:style>
  <w:style w:styleId="style64" w:type="character">
    <w:name w:val="Основной текст Знак1"/>
    <w:next w:val="style64"/>
    <w:rPr>
      <w:rFonts w:ascii="Times New Roman" w:cs="Times New Roman" w:hAnsi="Times New Roman"/>
      <w:sz w:val="23"/>
      <w:szCs w:val="23"/>
      <w:shd w:fill="FFFFFF" w:val="clear"/>
    </w:rPr>
  </w:style>
  <w:style w:styleId="style65" w:type="character">
    <w:name w:val="Основной текст (3)_"/>
    <w:next w:val="style65"/>
    <w:rPr>
      <w:rFonts w:ascii="Times New Roman" w:hAnsi="Times New Roman"/>
      <w:b/>
      <w:bCs/>
      <w:sz w:val="18"/>
      <w:szCs w:val="18"/>
      <w:shd w:fill="FFFFFF" w:val="clear"/>
    </w:rPr>
  </w:style>
  <w:style w:styleId="style66" w:type="character">
    <w:name w:val="Основной текст + 10 pt"/>
    <w:next w:val="style66"/>
    <w:rPr>
      <w:rFonts w:ascii="Times New Roman" w:cs="Times New Roman" w:hAnsi="Times New Roman"/>
      <w:sz w:val="20"/>
      <w:szCs w:val="20"/>
      <w:shd w:fill="FFFFFF" w:val="clear"/>
    </w:rPr>
  </w:style>
  <w:style w:styleId="style67" w:type="character">
    <w:name w:val="Основной текст + Полужирный"/>
    <w:next w:val="style67"/>
    <w:rPr>
      <w:rFonts w:ascii="Times New Roman" w:cs="Times New Roman" w:hAnsi="Times New Roman"/>
      <w:b/>
      <w:bCs/>
      <w:sz w:val="23"/>
      <w:szCs w:val="23"/>
      <w:shd w:fill="FFFFFF" w:val="clear"/>
    </w:rPr>
  </w:style>
  <w:style w:styleId="style68" w:type="character">
    <w:name w:val="Подпись к таблице (3) + Не полужирный"/>
    <w:next w:val="style68"/>
    <w:rPr>
      <w:rFonts w:ascii="Times New Roman" w:cs="Times New Roman" w:hAnsi="Times New Roman"/>
      <w:b w:val="false"/>
      <w:bCs w:val="false"/>
      <w:sz w:val="23"/>
      <w:szCs w:val="23"/>
      <w:u w:val="single"/>
      <w:shd w:fill="FFFFFF" w:val="clear"/>
    </w:rPr>
  </w:style>
  <w:style w:styleId="style69" w:type="character">
    <w:name w:val="Подпись к таблице (3)"/>
    <w:next w:val="style69"/>
    <w:rPr>
      <w:rFonts w:ascii="Times New Roman" w:cs="Times New Roman" w:hAnsi="Times New Roman"/>
      <w:b/>
      <w:bCs/>
      <w:sz w:val="23"/>
      <w:szCs w:val="23"/>
      <w:u w:val="single"/>
      <w:shd w:fill="FFFFFF" w:val="clear"/>
    </w:rPr>
  </w:style>
  <w:style w:styleId="style70" w:type="character">
    <w:name w:val="Основной текст_"/>
    <w:next w:val="style70"/>
    <w:rPr>
      <w:rFonts w:ascii="Times New Roman" w:eastAsia="Times New Roman" w:hAnsi="Times New Roman"/>
      <w:shd w:fill="FFFFFF" w:val="clear"/>
    </w:rPr>
  </w:style>
  <w:style w:styleId="style71" w:type="character">
    <w:name w:val="Подпись к таблице (3)_"/>
    <w:next w:val="style71"/>
    <w:rPr>
      <w:rFonts w:ascii="Times New Roman" w:cs="Times New Roman" w:eastAsia="Times New Roman" w:hAnsi="Times New Roman"/>
      <w:b/>
      <w:bCs/>
      <w:i w:val="false"/>
      <w:iCs w:val="false"/>
      <w:caps w:val="false"/>
      <w:smallCaps w:val="false"/>
      <w:strike w:val="false"/>
      <w:dstrike w:val="false"/>
      <w:sz w:val="19"/>
      <w:szCs w:val="19"/>
      <w:u w:val="none"/>
    </w:rPr>
  </w:style>
  <w:style w:styleId="style72" w:type="character">
    <w:name w:val="Основной текст + Малые прописные"/>
    <w:next w:val="style72"/>
    <w:rPr>
      <w:rFonts w:ascii="Times New Roman" w:cs="Times New Roman" w:eastAsia="Times New Roman" w:hAnsi="Times New Roman"/>
      <w:b w:val="false"/>
      <w:bCs w:val="false"/>
      <w:i w:val="false"/>
      <w:iCs w:val="false"/>
      <w:smallCaps/>
      <w:strike w:val="false"/>
      <w:dstrike w:val="false"/>
      <w:color w:val="000000"/>
      <w:spacing w:val="0"/>
      <w:w w:val="100"/>
      <w:sz w:val="22"/>
      <w:szCs w:val="22"/>
      <w:u w:val="none"/>
      <w:shd w:fill="FFFFFF" w:val="clear"/>
      <w:lang w:bidi="en-US" w:eastAsia="en-US" w:val="en-US"/>
    </w:rPr>
  </w:style>
  <w:style w:styleId="style73" w:type="character">
    <w:name w:val="Основной текст + 7;5 pt"/>
    <w:next w:val="style73"/>
    <w:rPr>
      <w:rFonts w:ascii="Times New Roman" w:cs="Times New Roman" w:eastAsia="Times New Roman" w:hAnsi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15"/>
      <w:szCs w:val="15"/>
      <w:u w:val="none"/>
      <w:shd w:fill="FFFFFF" w:val="clear"/>
      <w:lang w:bidi="en-US" w:eastAsia="en-US" w:val="en-US"/>
    </w:rPr>
  </w:style>
  <w:style w:styleId="style74" w:type="character">
    <w:name w:val="Основной текст2"/>
    <w:next w:val="style74"/>
    <w:rPr>
      <w:rFonts w:ascii="Times New Roman" w:cs="Times New Roman" w:eastAsia="Times New Roman" w:hAnsi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22"/>
      <w:szCs w:val="22"/>
      <w:u w:val="single"/>
      <w:shd w:fill="FFFFFF" w:val="clear"/>
      <w:lang w:bidi="ru-RU" w:eastAsia="ru-RU" w:val="ru-RU"/>
    </w:rPr>
  </w:style>
  <w:style w:styleId="style75" w:type="character">
    <w:name w:val="Основной текст + Полужирный;Курсив"/>
    <w:next w:val="style75"/>
    <w:rPr>
      <w:rFonts w:ascii="Times New Roman" w:cs="Times New Roman" w:eastAsia="Times New Roman" w:hAnsi="Times New Roman"/>
      <w:b/>
      <w:bCs/>
      <w:i/>
      <w:iCs/>
      <w:caps w:val="false"/>
      <w:smallCaps w:val="false"/>
      <w:strike w:val="false"/>
      <w:dstrike w:val="false"/>
      <w:color w:val="000000"/>
      <w:spacing w:val="0"/>
      <w:w w:val="100"/>
      <w:sz w:val="22"/>
      <w:szCs w:val="22"/>
      <w:u w:val="none"/>
      <w:shd w:fill="FFFFFF" w:val="clear"/>
      <w:lang w:bidi="ru-RU" w:eastAsia="ru-RU" w:val="ru-RU"/>
    </w:rPr>
  </w:style>
  <w:style w:styleId="style76" w:type="character">
    <w:name w:val="Основной текст (6)_"/>
    <w:next w:val="style76"/>
    <w:rPr>
      <w:rFonts w:ascii="Times New Roman" w:eastAsia="Times New Roman" w:hAnsi="Times New Roman"/>
      <w:b/>
      <w:bCs/>
      <w:i/>
      <w:iCs/>
      <w:shd w:fill="FFFFFF" w:val="clear"/>
    </w:rPr>
  </w:style>
  <w:style w:styleId="style77" w:type="character">
    <w:name w:val="Основной текст (6) + Candara;9 pt;Не полужирный"/>
    <w:next w:val="style77"/>
    <w:rPr>
      <w:rFonts w:ascii="Candara" w:cs="Candara" w:eastAsia="Candara" w:hAnsi="Candara"/>
      <w:b/>
      <w:bCs/>
      <w:i/>
      <w:iCs/>
      <w:caps w:val="false"/>
      <w:smallCaps w:val="false"/>
      <w:strike w:val="false"/>
      <w:dstrike w:val="false"/>
      <w:color w:val="000000"/>
      <w:spacing w:val="0"/>
      <w:w w:val="100"/>
      <w:sz w:val="18"/>
      <w:szCs w:val="18"/>
      <w:u w:val="none"/>
      <w:lang w:bidi="en-US" w:eastAsia="en-US" w:val="en-US"/>
    </w:rPr>
  </w:style>
  <w:style w:styleId="style78" w:type="character">
    <w:name w:val="Основной текст (6) + Не полужирный;Не курсив"/>
    <w:next w:val="style78"/>
    <w:rPr>
      <w:rFonts w:ascii="Times New Roman" w:cs="Times New Roman" w:eastAsia="Times New Roman" w:hAnsi="Times New Roman"/>
      <w:b/>
      <w:bCs/>
      <w:i/>
      <w:iCs/>
      <w:caps w:val="false"/>
      <w:smallCaps w:val="false"/>
      <w:strike w:val="false"/>
      <w:dstrike w:val="false"/>
      <w:color w:val="000000"/>
      <w:spacing w:val="0"/>
      <w:w w:val="100"/>
      <w:sz w:val="22"/>
      <w:szCs w:val="22"/>
      <w:u w:val="none"/>
      <w:lang w:bidi="ru-RU" w:eastAsia="ru-RU" w:val="ru-RU"/>
    </w:rPr>
  </w:style>
  <w:style w:styleId="style79" w:type="character">
    <w:name w:val="Цветовое выделение"/>
    <w:next w:val="style79"/>
    <w:rPr>
      <w:b/>
      <w:color w:val="000080"/>
    </w:rPr>
  </w:style>
  <w:style w:styleId="style80" w:type="character">
    <w:name w:val="Основной текст с отступом Знак"/>
    <w:basedOn w:val="style15"/>
    <w:next w:val="style80"/>
    <w:rPr>
      <w:rFonts w:ascii="Arial" w:cs="Times New Roman" w:eastAsia="Calibri" w:hAnsi="Arial"/>
    </w:rPr>
  </w:style>
  <w:style w:styleId="style81" w:type="character">
    <w:name w:val="Текст_Обычный"/>
    <w:next w:val="style81"/>
    <w:rPr>
      <w:rFonts w:cs="Times New Roman"/>
    </w:rPr>
  </w:style>
  <w:style w:styleId="style82" w:type="character">
    <w:name w:val="Основной текст + Verdana;11 pt;Полужирный;Интервал -1 pt"/>
    <w:next w:val="style82"/>
    <w:rPr>
      <w:rFonts w:ascii="Verdana" w:cs="Verdana" w:eastAsia="Verdana" w:hAnsi="Verdana"/>
      <w:b/>
      <w:bCs/>
      <w:i w:val="false"/>
      <w:iCs w:val="false"/>
      <w:caps w:val="false"/>
      <w:smallCaps w:val="false"/>
      <w:strike w:val="false"/>
      <w:dstrike w:val="false"/>
      <w:color w:val="000000"/>
      <w:spacing w:val="-20"/>
      <w:w w:val="100"/>
      <w:sz w:val="22"/>
      <w:szCs w:val="22"/>
      <w:u w:val="none"/>
      <w:shd w:fill="FFFFFF" w:val="clear"/>
      <w:lang w:val="ru-RU"/>
    </w:rPr>
  </w:style>
  <w:style w:styleId="style83" w:type="character">
    <w:name w:val="Основной текст + Курсив;Интервал 0 pt"/>
    <w:next w:val="style83"/>
    <w:rPr>
      <w:rFonts w:ascii="Times New Roman" w:cs="Times New Roman" w:eastAsia="Times New Roman" w:hAnsi="Times New Roman"/>
      <w:b w:val="false"/>
      <w:bCs w:val="false"/>
      <w:i/>
      <w:iCs/>
      <w:caps w:val="false"/>
      <w:smallCaps w:val="false"/>
      <w:strike w:val="false"/>
      <w:dstrike w:val="false"/>
      <w:color w:val="000000"/>
      <w:spacing w:val="-10"/>
      <w:w w:val="100"/>
      <w:sz w:val="20"/>
      <w:szCs w:val="20"/>
      <w:u w:val="none"/>
      <w:shd w:fill="FFFFFF" w:val="clear"/>
      <w:lang w:val="ru-RU"/>
    </w:rPr>
  </w:style>
  <w:style w:styleId="style84" w:type="character">
    <w:name w:val="annotation reference"/>
    <w:next w:val="style84"/>
    <w:rPr>
      <w:sz w:val="16"/>
      <w:szCs w:val="16"/>
    </w:rPr>
  </w:style>
  <w:style w:styleId="style85" w:type="character">
    <w:name w:val="Текст примечания Знак"/>
    <w:basedOn w:val="style15"/>
    <w:next w:val="style85"/>
    <w:rPr>
      <w:rFonts w:ascii="Arial" w:cs="Times New Roman" w:eastAsia="Calibri" w:hAnsi="Arial"/>
      <w:sz w:val="20"/>
      <w:szCs w:val="20"/>
    </w:rPr>
  </w:style>
  <w:style w:styleId="style86" w:type="character">
    <w:name w:val="Тема примечания Знак"/>
    <w:basedOn w:val="style85"/>
    <w:next w:val="style86"/>
    <w:rPr>
      <w:rFonts w:ascii="Arial" w:cs="Times New Roman" w:eastAsia="Calibri" w:hAnsi="Arial"/>
      <w:b/>
      <w:bCs/>
      <w:sz w:val="20"/>
      <w:szCs w:val="20"/>
    </w:rPr>
  </w:style>
  <w:style w:styleId="style87" w:type="character">
    <w:name w:val="П.З. Знак"/>
    <w:next w:val="style87"/>
    <w:rPr>
      <w:rFonts w:ascii="Times New Roman" w:cs="Times New Roman" w:eastAsia="Times New Roman" w:hAnsi="Times New Roman"/>
      <w:sz w:val="24"/>
      <w:szCs w:val="28"/>
      <w:lang w:eastAsia="ru-RU"/>
    </w:rPr>
  </w:style>
  <w:style w:styleId="style88" w:type="character">
    <w:name w:val="Выделение жирным"/>
    <w:next w:val="style88"/>
    <w:rPr>
      <w:b/>
      <w:bCs/>
    </w:rPr>
  </w:style>
  <w:style w:styleId="style89" w:type="character">
    <w:name w:val="Основной текст с отступом 2 Знак"/>
    <w:basedOn w:val="style15"/>
    <w:next w:val="style89"/>
    <w:rPr>
      <w:rFonts w:ascii="Times New Roman" w:cs="Times New Roman" w:eastAsia="Times New Roman" w:hAnsi="Times New Roman"/>
      <w:sz w:val="24"/>
      <w:szCs w:val="24"/>
      <w:lang w:eastAsia="ru-RU"/>
    </w:rPr>
  </w:style>
  <w:style w:styleId="style90" w:type="character">
    <w:name w:val="Основной текст + Candara2"/>
    <w:next w:val="style90"/>
    <w:rPr>
      <w:rFonts w:ascii="Candara" w:cs="Candara" w:hAnsi="Candara"/>
      <w:sz w:val="27"/>
      <w:szCs w:val="27"/>
      <w:u w:val="none"/>
      <w:shd w:fill="FFFFFF" w:val="clear"/>
    </w:rPr>
  </w:style>
  <w:style w:styleId="style91" w:type="character">
    <w:name w:val="Основной текст + Candara"/>
    <w:next w:val="style91"/>
    <w:rPr>
      <w:rFonts w:ascii="Candara" w:cs="Candara" w:hAnsi="Candara"/>
      <w:sz w:val="22"/>
      <w:szCs w:val="22"/>
      <w:u w:val="none"/>
      <w:shd w:fill="FFFFFF" w:val="clear"/>
    </w:rPr>
  </w:style>
  <w:style w:styleId="style92" w:type="character">
    <w:name w:val="Основной текст Exact"/>
    <w:next w:val="style92"/>
    <w:rPr>
      <w:rFonts w:ascii="Times New Roman" w:cs="Times New Roman" w:hAnsi="Times New Roman"/>
      <w:spacing w:val="2"/>
      <w:sz w:val="21"/>
      <w:szCs w:val="21"/>
      <w:u w:val="none"/>
    </w:rPr>
  </w:style>
  <w:style w:styleId="style93" w:type="character">
    <w:name w:val="Основной текст + Курсив1"/>
    <w:next w:val="style93"/>
    <w:rPr>
      <w:rFonts w:ascii="Times New Roman" w:cs="Times New Roman" w:hAnsi="Times New Roman"/>
      <w:i/>
      <w:iCs/>
      <w:sz w:val="23"/>
      <w:szCs w:val="23"/>
      <w:u w:val="single"/>
      <w:shd w:fill="FFFFFF" w:val="clear"/>
    </w:rPr>
  </w:style>
  <w:style w:styleId="style94" w:type="character">
    <w:name w:val="Font Style34"/>
    <w:next w:val="style94"/>
    <w:rPr>
      <w:rFonts w:ascii="Times New Roman" w:cs="Times New Roman" w:hAnsi="Times New Roman"/>
      <w:sz w:val="26"/>
      <w:szCs w:val="26"/>
    </w:rPr>
  </w:style>
  <w:style w:styleId="style95" w:type="character">
    <w:name w:val="blk"/>
    <w:basedOn w:val="style15"/>
    <w:next w:val="style95"/>
    <w:rPr/>
  </w:style>
  <w:style w:styleId="style96" w:type="character">
    <w:name w:val="Стандартный HTML Знак"/>
    <w:basedOn w:val="style15"/>
    <w:next w:val="style96"/>
    <w:rPr>
      <w:rFonts w:ascii="Courier New" w:cs="Courier New" w:eastAsia="Times New Roman" w:hAnsi="Courier New"/>
      <w:sz w:val="20"/>
      <w:szCs w:val="20"/>
      <w:lang w:eastAsia="ru-RU"/>
    </w:rPr>
  </w:style>
  <w:style w:styleId="style97" w:type="character">
    <w:name w:val="Table Caption Знак3"/>
    <w:next w:val="style97"/>
    <w:rPr>
      <w:rFonts w:ascii="Arial Bold" w:cs="Times New Roman" w:eastAsia="Times New Roman" w:hAnsi="Arial Bold"/>
      <w:b/>
      <w:sz w:val="20"/>
      <w:szCs w:val="20"/>
      <w:lang w:eastAsia="ru-RU" w:val="en-US"/>
    </w:rPr>
  </w:style>
  <w:style w:styleId="style98" w:type="character">
    <w:name w:val="Book Title"/>
    <w:next w:val="style98"/>
    <w:rPr>
      <w:rFonts w:ascii="Cambria" w:cs="Times New Roman" w:eastAsia="Times New Roman" w:hAnsi="Cambria"/>
      <w:b/>
      <w:bCs/>
      <w:i/>
      <w:iCs/>
      <w:color w:val="00000A"/>
    </w:rPr>
  </w:style>
  <w:style w:styleId="style99" w:type="character">
    <w:name w:val="Текст Знак"/>
    <w:basedOn w:val="style15"/>
    <w:next w:val="style99"/>
    <w:rPr>
      <w:rFonts w:ascii="Courier New" w:cs="Times New Roman" w:eastAsia="Times New Roman" w:hAnsi="Courier New"/>
      <w:spacing w:val="-5"/>
      <w:sz w:val="20"/>
      <w:szCs w:val="20"/>
    </w:rPr>
  </w:style>
  <w:style w:styleId="style100" w:type="character">
    <w:name w:val="Подпись к таблице_"/>
    <w:next w:val="style100"/>
    <w:rPr>
      <w:rFonts w:ascii="Times New Roman" w:hAnsi="Times New Roman"/>
      <w:b/>
      <w:bCs/>
      <w:sz w:val="23"/>
      <w:szCs w:val="23"/>
      <w:shd w:fill="FFFFFF" w:val="clear"/>
    </w:rPr>
  </w:style>
  <w:style w:styleId="style101" w:type="character">
    <w:name w:val="Основной текст + 12 pt"/>
    <w:next w:val="style101"/>
    <w:rPr>
      <w:rFonts w:ascii="Times New Roman" w:cs="Times New Roman" w:hAnsi="Times New Roman"/>
      <w:i/>
      <w:iCs/>
      <w:sz w:val="24"/>
      <w:szCs w:val="24"/>
      <w:shd w:fill="FFFFFF" w:val="clear"/>
    </w:rPr>
  </w:style>
  <w:style w:styleId="style102" w:type="character">
    <w:name w:val="Основной текст (2)5"/>
    <w:next w:val="style102"/>
    <w:rPr>
      <w:rFonts w:ascii="Times New Roman" w:cs="Times New Roman" w:hAnsi="Times New Roman"/>
      <w:b/>
      <w:bCs/>
      <w:sz w:val="23"/>
      <w:szCs w:val="23"/>
      <w:shd w:fill="FFFFFF" w:val="clear"/>
    </w:rPr>
  </w:style>
  <w:style w:styleId="style103" w:type="character">
    <w:name w:val="Основной текст + Полужирный1"/>
    <w:next w:val="style103"/>
    <w:rPr>
      <w:rFonts w:ascii="Times New Roman" w:cs="Times New Roman" w:hAnsi="Times New Roman"/>
      <w:b/>
      <w:bCs/>
      <w:sz w:val="23"/>
      <w:szCs w:val="23"/>
      <w:shd w:fill="FFFFFF" w:val="clear"/>
    </w:rPr>
  </w:style>
  <w:style w:styleId="style104" w:type="character">
    <w:name w:val="Основной текст (2)_"/>
    <w:next w:val="style104"/>
    <w:rPr>
      <w:rFonts w:ascii="Times New Roman" w:hAnsi="Times New Roman"/>
      <w:b/>
      <w:bCs/>
      <w:sz w:val="23"/>
      <w:szCs w:val="23"/>
      <w:shd w:fill="FFFFFF" w:val="clear"/>
    </w:rPr>
  </w:style>
  <w:style w:styleId="style105" w:type="character">
    <w:name w:val="Основной текст + 12 pt1"/>
    <w:next w:val="style105"/>
    <w:rPr>
      <w:rFonts w:ascii="Times New Roman" w:cs="Times New Roman" w:hAnsi="Times New Roman"/>
      <w:i/>
      <w:iCs/>
      <w:strike w:val="false"/>
      <w:dstrike w:val="false"/>
      <w:sz w:val="24"/>
      <w:szCs w:val="24"/>
      <w:u w:val="none"/>
      <w:effect w:val="none"/>
      <w:shd w:fill="FFFFFF" w:val="clear"/>
    </w:rPr>
  </w:style>
  <w:style w:styleId="style106" w:type="character">
    <w:name w:val="Подпись к картинке_"/>
    <w:next w:val="style106"/>
    <w:rPr>
      <w:rFonts w:ascii="Times New Roman" w:hAnsi="Times New Roman"/>
      <w:sz w:val="23"/>
      <w:szCs w:val="23"/>
      <w:shd w:fill="FFFFFF" w:val="clear"/>
    </w:rPr>
  </w:style>
  <w:style w:styleId="style107" w:type="character">
    <w:name w:val="Основной текст + 10"/>
    <w:next w:val="style107"/>
    <w:rPr>
      <w:rFonts w:ascii="Times New Roman" w:cs="Times New Roman" w:hAnsi="Times New Roman"/>
      <w:strike w:val="false"/>
      <w:dstrike w:val="false"/>
      <w:sz w:val="21"/>
      <w:szCs w:val="21"/>
      <w:u w:val="none"/>
      <w:effect w:val="none"/>
      <w:shd w:fill="FFFFFF" w:val="clear"/>
    </w:rPr>
  </w:style>
  <w:style w:styleId="style108" w:type="character">
    <w:name w:val="Подпись к таблице Exact"/>
    <w:next w:val="style108"/>
    <w:rPr>
      <w:rFonts w:ascii="Times New Roman" w:cs="Times New Roman" w:hAnsi="Times New Roman"/>
      <w:strike w:val="false"/>
      <w:dstrike w:val="false"/>
      <w:spacing w:val="4"/>
      <w:sz w:val="20"/>
      <w:szCs w:val="20"/>
      <w:u w:val="none"/>
      <w:effect w:val="none"/>
    </w:rPr>
  </w:style>
  <w:style w:styleId="style109" w:type="character">
    <w:name w:val="Подпись к картинке Exact"/>
    <w:next w:val="style109"/>
    <w:rPr>
      <w:rFonts w:ascii="Times New Roman" w:cs="Times New Roman" w:hAnsi="Times New Roman"/>
      <w:strike w:val="false"/>
      <w:dstrike w:val="false"/>
      <w:spacing w:val="4"/>
      <w:sz w:val="20"/>
      <w:szCs w:val="20"/>
      <w:u w:val="none"/>
      <w:effect w:val="none"/>
    </w:rPr>
  </w:style>
  <w:style w:styleId="style110" w:type="character">
    <w:name w:val="Основной текст + Курсив2"/>
    <w:next w:val="style110"/>
    <w:rPr>
      <w:rFonts w:ascii="Times New Roman" w:cs="Times New Roman" w:hAnsi="Times New Roman"/>
      <w:i/>
      <w:iCs/>
      <w:strike w:val="false"/>
      <w:dstrike w:val="false"/>
      <w:spacing w:val="-5"/>
      <w:sz w:val="20"/>
      <w:szCs w:val="20"/>
      <w:u w:val="none"/>
      <w:effect w:val="none"/>
      <w:shd w:fill="FFFFFF" w:val="clear"/>
    </w:rPr>
  </w:style>
  <w:style w:styleId="style111" w:type="character">
    <w:name w:val="Основной текст + 7 pt"/>
    <w:next w:val="style111"/>
    <w:rPr>
      <w:rFonts w:ascii="Times New Roman" w:cs="Times New Roman" w:hAnsi="Times New Roman"/>
      <w:smallCaps/>
      <w:strike w:val="false"/>
      <w:dstrike w:val="false"/>
      <w:sz w:val="14"/>
      <w:szCs w:val="14"/>
      <w:u w:val="none"/>
      <w:effect w:val="none"/>
      <w:shd w:fill="FFFFFF" w:val="clear"/>
      <w:lang w:eastAsia="en-US" w:val="en-US"/>
    </w:rPr>
  </w:style>
  <w:style w:styleId="style112" w:type="character">
    <w:name w:val="FollowedHyperlink"/>
    <w:basedOn w:val="style15"/>
    <w:next w:val="style112"/>
    <w:rPr>
      <w:color w:val="954F72"/>
      <w:u w:val="single"/>
    </w:rPr>
  </w:style>
  <w:style w:styleId="style113" w:type="character">
    <w:name w:val="021216Заголовок Знак"/>
    <w:next w:val="style113"/>
    <w:rPr>
      <w:rFonts w:ascii="Times New Roman" w:cs="Times New Roman" w:eastAsia="Calibri" w:hAnsi="Times New Roman"/>
      <w:sz w:val="24"/>
      <w:szCs w:val="24"/>
    </w:rPr>
  </w:style>
  <w:style w:styleId="style114" w:type="character">
    <w:name w:val="Font Style211"/>
    <w:next w:val="style114"/>
    <w:rPr>
      <w:rFonts w:ascii="Arial" w:cs="Arial" w:hAnsi="Arial"/>
      <w:color w:val="000000"/>
      <w:sz w:val="20"/>
      <w:szCs w:val="20"/>
    </w:rPr>
  </w:style>
  <w:style w:styleId="style115" w:type="character">
    <w:name w:val="ListLabel 1"/>
    <w:next w:val="style115"/>
    <w:rPr>
      <w:position w:val="0"/>
      <w:sz w:val="22"/>
      <w:vertAlign w:val="baseline"/>
    </w:rPr>
  </w:style>
  <w:style w:styleId="style116" w:type="character">
    <w:name w:val="ListLabel 2"/>
    <w:next w:val="style116"/>
    <w:rPr>
      <w:rFonts w:cs="Courier New"/>
    </w:rPr>
  </w:style>
  <w:style w:styleId="style117" w:type="character">
    <w:name w:val="ListLabel 3"/>
    <w:next w:val="style117"/>
    <w:rPr>
      <w:rFonts w:cs="Times New Roman"/>
    </w:rPr>
  </w:style>
  <w:style w:styleId="style118" w:type="character">
    <w:name w:val="ListLabel 4"/>
    <w:next w:val="style118"/>
    <w:rPr>
      <w:b w:val="false"/>
      <w:i w:val="false"/>
      <w:color w:val="00000A"/>
      <w:position w:val="0"/>
      <w:sz w:val="20"/>
      <w:sz w:val="20"/>
      <w:szCs w:val="20"/>
      <w:vertAlign w:val="baseline"/>
    </w:rPr>
  </w:style>
  <w:style w:styleId="style119" w:type="character">
    <w:name w:val="ListLabel 5"/>
    <w:next w:val="style119"/>
    <w:rPr>
      <w:rFonts w:cs="Wingdings"/>
    </w:rPr>
  </w:style>
  <w:style w:styleId="style120" w:type="character">
    <w:name w:val="ListLabel 6"/>
    <w:next w:val="style120"/>
    <w:rPr>
      <w:rFonts w:cs="Times New Roman" w:eastAsia="Times New Roman"/>
      <w:b w:val="false"/>
      <w:i w:val="false"/>
      <w:strike w:val="false"/>
      <w:dstrike w:val="false"/>
      <w:color w:val="000000"/>
      <w:position w:val="0"/>
      <w:sz w:val="24"/>
      <w:sz w:val="24"/>
      <w:szCs w:val="24"/>
      <w:u w:val="none"/>
      <w:shd w:fill="FFFFFF" w:val="clear"/>
      <w:vertAlign w:val="baseline"/>
    </w:rPr>
  </w:style>
  <w:style w:styleId="style121" w:type="paragraph">
    <w:name w:val="Заголовок"/>
    <w:basedOn w:val="style0"/>
    <w:next w:val="style122"/>
    <w:pPr>
      <w:keepNext/>
      <w:spacing w:after="120" w:before="240"/>
      <w:contextualSpacing w:val="false"/>
    </w:pPr>
    <w:rPr>
      <w:rFonts w:ascii="Arial" w:cs="Mangal" w:eastAsia="Microsoft YaHei" w:hAnsi="Arial"/>
      <w:sz w:val="28"/>
      <w:szCs w:val="28"/>
    </w:rPr>
  </w:style>
  <w:style w:styleId="style122" w:type="paragraph">
    <w:name w:val="Основной текст"/>
    <w:basedOn w:val="style0"/>
    <w:next w:val="style122"/>
    <w:pPr>
      <w:suppressAutoHyphens w:val="true"/>
      <w:spacing w:after="120" w:before="0" w:line="360" w:lineRule="auto"/>
      <w:contextualSpacing w:val="false"/>
      <w:jc w:val="both"/>
    </w:pPr>
    <w:rPr>
      <w:rFonts w:ascii="Times New Roman" w:hAnsi="Times New Roman"/>
      <w:bCs/>
      <w:sz w:val="24"/>
      <w:szCs w:val="20"/>
      <w:lang w:eastAsia="ru-RU" w:val="ru-RU"/>
    </w:rPr>
  </w:style>
  <w:style w:styleId="style123" w:type="paragraph">
    <w:name w:val="Список"/>
    <w:basedOn w:val="style0"/>
    <w:next w:val="style123"/>
    <w:pPr>
      <w:spacing w:after="60" w:before="0" w:line="100" w:lineRule="atLeast"/>
      <w:ind w:hanging="360" w:left="1429" w:right="0"/>
      <w:contextualSpacing w:val="false"/>
      <w:jc w:val="both"/>
    </w:pPr>
    <w:rPr>
      <w:rFonts w:ascii="Times New Roman" w:cs="Mangal" w:eastAsia="Times New Roman" w:hAnsi="Times New Roman"/>
      <w:sz w:val="24"/>
      <w:szCs w:val="24"/>
      <w:lang w:eastAsia="ru-RU" w:val="ru-RU"/>
    </w:rPr>
  </w:style>
  <w:style w:styleId="style124" w:type="paragraph">
    <w:name w:val="Название"/>
    <w:basedOn w:val="style0"/>
    <w:next w:val="style124"/>
    <w:pPr>
      <w:suppressLineNumbers/>
      <w:spacing w:after="120" w:before="120"/>
      <w:contextualSpacing w:val="false"/>
    </w:pPr>
    <w:rPr>
      <w:rFonts w:cs="Mangal"/>
      <w:i/>
      <w:iCs/>
      <w:sz w:val="24"/>
      <w:szCs w:val="24"/>
    </w:rPr>
  </w:style>
  <w:style w:styleId="style125" w:type="paragraph">
    <w:name w:val="Указатель"/>
    <w:basedOn w:val="style0"/>
    <w:next w:val="style125"/>
    <w:pPr>
      <w:suppressLineNumbers/>
    </w:pPr>
    <w:rPr>
      <w:rFonts w:cs="Mangal"/>
    </w:rPr>
  </w:style>
  <w:style w:styleId="style126" w:type="paragraph">
    <w:name w:val="Balloon Text"/>
    <w:basedOn w:val="style0"/>
    <w:next w:val="style126"/>
    <w:pPr>
      <w:spacing w:after="0" w:before="0" w:line="100" w:lineRule="atLeast"/>
      <w:contextualSpacing w:val="false"/>
    </w:pPr>
    <w:rPr>
      <w:rFonts w:ascii="Tahoma" w:cs="Tahoma" w:hAnsi="Tahoma"/>
      <w:sz w:val="16"/>
      <w:szCs w:val="16"/>
    </w:rPr>
  </w:style>
  <w:style w:styleId="style127" w:type="paragraph">
    <w:name w:val="List Paragraph"/>
    <w:basedOn w:val="style0"/>
    <w:next w:val="style127"/>
    <w:pPr>
      <w:spacing w:after="200" w:before="0"/>
      <w:ind w:hanging="0" w:left="720" w:right="0"/>
      <w:contextualSpacing/>
    </w:pPr>
    <w:rPr/>
  </w:style>
  <w:style w:styleId="style128" w:type="paragraph">
    <w:name w:val="Верхний колонтитул"/>
    <w:basedOn w:val="style0"/>
    <w:next w:val="style128"/>
    <w:pPr>
      <w:tabs>
        <w:tab w:leader="none" w:pos="4677" w:val="center"/>
        <w:tab w:leader="none" w:pos="9355" w:val="right"/>
      </w:tabs>
      <w:spacing w:after="0" w:before="0" w:line="100" w:lineRule="atLeast"/>
      <w:contextualSpacing w:val="false"/>
    </w:pPr>
    <w:rPr/>
  </w:style>
  <w:style w:styleId="style129" w:type="paragraph">
    <w:name w:val="Нижний колонтитул"/>
    <w:basedOn w:val="style0"/>
    <w:next w:val="style129"/>
    <w:pPr>
      <w:tabs>
        <w:tab w:leader="none" w:pos="4677" w:val="center"/>
        <w:tab w:leader="none" w:pos="9355" w:val="right"/>
      </w:tabs>
      <w:spacing w:after="0" w:before="0" w:line="100" w:lineRule="atLeast"/>
      <w:contextualSpacing w:val="false"/>
    </w:pPr>
    <w:rPr/>
  </w:style>
  <w:style w:styleId="style130" w:type="paragraph">
    <w:name w:val="No Spacing"/>
    <w:next w:val="style130"/>
    <w:pPr>
      <w:widowControl/>
      <w:suppressAutoHyphens w:val="true"/>
      <w:spacing w:after="0" w:before="0" w:line="100" w:lineRule="atLeast"/>
      <w:contextualSpacing w:val="false"/>
    </w:pPr>
    <w:rPr>
      <w:rFonts w:ascii="Calibri" w:cs="Times New Roman" w:eastAsia="Times New Roman" w:hAnsi="Calibri"/>
      <w:color w:val="auto"/>
      <w:sz w:val="22"/>
      <w:szCs w:val="22"/>
      <w:lang w:bidi="ar-SA" w:eastAsia="en-US" w:val="ru-RU"/>
    </w:rPr>
  </w:style>
  <w:style w:styleId="style131" w:type="paragraph">
    <w:name w:val="Document Map"/>
    <w:basedOn w:val="style0"/>
    <w:next w:val="style131"/>
    <w:pPr>
      <w:spacing w:after="0" w:before="0" w:line="100" w:lineRule="atLeast"/>
      <w:contextualSpacing w:val="false"/>
    </w:pPr>
    <w:rPr>
      <w:rFonts w:ascii="Tahoma" w:hAnsi="Tahoma"/>
      <w:sz w:val="16"/>
      <w:szCs w:val="16"/>
      <w:lang w:eastAsia="ru-RU" w:val="ru-RU"/>
    </w:rPr>
  </w:style>
  <w:style w:styleId="style132" w:type="paragraph">
    <w:name w:val="Заглавие"/>
    <w:basedOn w:val="style0"/>
    <w:next w:val="style132"/>
    <w:pPr>
      <w:suppressAutoHyphens w:val="true"/>
      <w:overflowPunct w:val="true"/>
      <w:spacing w:after="120" w:before="120" w:line="360" w:lineRule="auto"/>
      <w:contextualSpacing/>
      <w:jc w:val="both"/>
    </w:pPr>
    <w:rPr>
      <w:rFonts w:ascii="Times New Roman" w:eastAsia="Times New Roman" w:hAnsi="Times New Roman"/>
      <w:bCs/>
      <w:i/>
      <w:sz w:val="24"/>
      <w:szCs w:val="52"/>
      <w:lang w:eastAsia="ru-RU" w:val="ru-RU"/>
    </w:rPr>
  </w:style>
  <w:style w:styleId="style133" w:type="paragraph">
    <w:name w:val="S_Маркированный"/>
    <w:next w:val="style133"/>
    <w:pPr>
      <w:widowControl w:val="false"/>
      <w:tabs>
        <w:tab w:leader="none" w:pos="860" w:val="left"/>
      </w:tabs>
      <w:suppressAutoHyphens w:val="true"/>
      <w:spacing w:after="0" w:before="0" w:line="360" w:lineRule="auto"/>
      <w:ind w:firstLine="743" w:left="0" w:right="0"/>
      <w:contextualSpacing w:val="false"/>
      <w:jc w:val="both"/>
    </w:pPr>
    <w:rPr>
      <w:rFonts w:ascii="Times New Roman" w:cs="Calibri" w:eastAsia="Times New Roman" w:hAnsi="Times New Roman"/>
      <w:bCs/>
      <w:color w:val="000000"/>
      <w:sz w:val="24"/>
      <w:szCs w:val="24"/>
      <w:lang w:bidi="ar-SA" w:eastAsia="ru-RU" w:val="ru-RU"/>
    </w:rPr>
  </w:style>
  <w:style w:styleId="style134" w:type="paragraph">
    <w:name w:val="List Bullet"/>
    <w:basedOn w:val="style0"/>
    <w:next w:val="style134"/>
    <w:pPr>
      <w:tabs>
        <w:tab w:leader="none" w:pos="720" w:val="left"/>
      </w:tabs>
      <w:spacing w:after="200" w:before="0"/>
      <w:ind w:hanging="720" w:left="720" w:right="0"/>
      <w:contextualSpacing/>
    </w:pPr>
    <w:rPr>
      <w:rFonts w:ascii="Arial" w:hAnsi="Arial"/>
    </w:rPr>
  </w:style>
  <w:style w:styleId="style135" w:type="paragraph">
    <w:name w:val="Стиль4"/>
    <w:basedOn w:val="style0"/>
    <w:next w:val="style135"/>
    <w:pPr>
      <w:suppressAutoHyphens w:val="true"/>
      <w:spacing w:after="0" w:before="0" w:line="100" w:lineRule="atLeast"/>
      <w:ind w:hanging="0" w:left="0" w:right="-73"/>
      <w:contextualSpacing w:val="false"/>
      <w:jc w:val="center"/>
    </w:pPr>
    <w:rPr>
      <w:rFonts w:ascii="Times New Roman" w:hAnsi="Times New Roman"/>
      <w:b/>
      <w:bCs/>
      <w:sz w:val="20"/>
      <w:szCs w:val="20"/>
      <w:lang w:eastAsia="ru-RU"/>
    </w:rPr>
  </w:style>
  <w:style w:styleId="style136" w:type="paragraph">
    <w:name w:val="Âåðõíèé êîëîíòèòóë"/>
    <w:basedOn w:val="style0"/>
    <w:next w:val="style136"/>
    <w:pPr>
      <w:tabs>
        <w:tab w:leader="none" w:pos="4153" w:val="center"/>
        <w:tab w:leader="none" w:pos="8306" w:val="right"/>
      </w:tabs>
      <w:spacing w:after="0" w:before="0" w:line="100" w:lineRule="atLeast"/>
      <w:contextualSpacing w:val="false"/>
    </w:pPr>
    <w:rPr>
      <w:rFonts w:ascii="Times New Roman" w:eastAsia="Times New Roman" w:hAnsi="Times New Roman"/>
      <w:sz w:val="20"/>
      <w:szCs w:val="20"/>
      <w:lang w:eastAsia="ru-RU"/>
    </w:rPr>
  </w:style>
  <w:style w:styleId="style137" w:type="paragraph">
    <w:name w:val="çàãîëîâîê 6"/>
    <w:basedOn w:val="style0"/>
    <w:next w:val="style137"/>
    <w:pPr>
      <w:keepNext/>
      <w:spacing w:after="0" w:before="0" w:line="100" w:lineRule="atLeast"/>
      <w:contextualSpacing w:val="false"/>
      <w:jc w:val="center"/>
    </w:pPr>
    <w:rPr>
      <w:rFonts w:ascii="Times New Roman" w:eastAsia="Times New Roman" w:hAnsi="Times New Roman"/>
      <w:sz w:val="28"/>
      <w:szCs w:val="28"/>
      <w:lang w:eastAsia="ru-RU"/>
    </w:rPr>
  </w:style>
  <w:style w:styleId="style138" w:type="paragraph">
    <w:name w:val="çàãîëîâîê 8"/>
    <w:basedOn w:val="style0"/>
    <w:next w:val="style138"/>
    <w:pPr>
      <w:keepNext/>
      <w:spacing w:after="0" w:before="0" w:line="100" w:lineRule="atLeast"/>
      <w:contextualSpacing w:val="false"/>
      <w:jc w:val="center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styleId="style139" w:type="paragraph">
    <w:name w:val="hl"/>
    <w:basedOn w:val="style0"/>
    <w:next w:val="style139"/>
    <w:pPr>
      <w:spacing w:after="280" w:before="280" w:line="100" w:lineRule="atLeast"/>
      <w:contextualSpacing w:val="false"/>
      <w:jc w:val="center"/>
    </w:pPr>
    <w:rPr>
      <w:rFonts w:ascii="Tahoma" w:cs="Tahoma" w:eastAsia="Times New Roman" w:hAnsi="Tahoma"/>
      <w:color w:val="0000CC"/>
      <w:sz w:val="30"/>
      <w:szCs w:val="30"/>
      <w:lang w:eastAsia="ru-RU"/>
    </w:rPr>
  </w:style>
  <w:style w:styleId="style140" w:type="paragraph">
    <w:name w:val="Normal (Web)"/>
    <w:basedOn w:val="style0"/>
    <w:next w:val="style140"/>
    <w:pPr>
      <w:spacing w:after="280" w:before="280" w:line="100" w:lineRule="atLeast"/>
      <w:contextualSpacing w:val="false"/>
    </w:pPr>
    <w:rPr>
      <w:rFonts w:ascii="Times New Roman" w:eastAsia="Times New Roman" w:hAnsi="Times New Roman"/>
      <w:sz w:val="24"/>
      <w:szCs w:val="24"/>
      <w:lang w:eastAsia="ru-RU"/>
    </w:rPr>
  </w:style>
  <w:style w:styleId="style141" w:type="paragraph">
    <w:name w:val="Основной текст 21"/>
    <w:basedOn w:val="style0"/>
    <w:next w:val="style141"/>
    <w:pPr>
      <w:widowControl w:val="false"/>
      <w:spacing w:after="0" w:before="0" w:line="100" w:lineRule="atLeast"/>
      <w:contextualSpacing w:val="false"/>
      <w:jc w:val="center"/>
    </w:pPr>
    <w:rPr>
      <w:rFonts w:ascii="Times New Roman" w:eastAsia="Times New Roman" w:hAnsi="Times New Roman"/>
      <w:b/>
      <w:i/>
      <w:sz w:val="28"/>
      <w:szCs w:val="20"/>
      <w:lang w:eastAsia="ru-RU"/>
    </w:rPr>
  </w:style>
  <w:style w:styleId="style142" w:type="paragraph">
    <w:name w:val="Содержимое таблицы"/>
    <w:basedOn w:val="style0"/>
    <w:next w:val="style142"/>
    <w:pPr>
      <w:widowControl w:val="false"/>
      <w:suppressLineNumbers/>
      <w:suppressAutoHyphens w:val="true"/>
      <w:spacing w:after="0" w:before="0" w:line="100" w:lineRule="atLeast"/>
      <w:contextualSpacing w:val="false"/>
    </w:pPr>
    <w:rPr>
      <w:rFonts w:ascii="Times New Roman" w:cs="Lohit Hindi" w:eastAsia="Droid Sans Fallback" w:hAnsi="Times New Roman"/>
      <w:sz w:val="24"/>
      <w:szCs w:val="24"/>
      <w:lang w:bidi="hi-IN" w:eastAsia="hi-IN"/>
    </w:rPr>
  </w:style>
  <w:style w:styleId="style143" w:type="paragraph">
    <w:name w:val="Style7"/>
    <w:basedOn w:val="style0"/>
    <w:next w:val="style143"/>
    <w:pPr>
      <w:widowControl w:val="false"/>
      <w:spacing w:after="0" w:before="0" w:line="100" w:lineRule="atLeast"/>
      <w:contextualSpacing w:val="false"/>
    </w:pPr>
    <w:rPr>
      <w:rFonts w:ascii="Times New Roman" w:eastAsia="Times New Roman" w:hAnsi="Times New Roman"/>
      <w:sz w:val="24"/>
      <w:szCs w:val="24"/>
      <w:lang w:eastAsia="ru-RU"/>
    </w:rPr>
  </w:style>
  <w:style w:styleId="style144" w:type="paragraph">
    <w:name w:val="Heading #1 (2)"/>
    <w:basedOn w:val="style0"/>
    <w:next w:val="style144"/>
    <w:pPr>
      <w:shd w:fill="FFFFFF" w:val="clear"/>
      <w:spacing w:after="0" w:before="540" w:lineRule="auto"/>
      <w:contextualSpacing w:val="false"/>
    </w:pPr>
    <w:rPr>
      <w:rFonts w:cs="Calibri"/>
      <w:sz w:val="19"/>
      <w:szCs w:val="19"/>
    </w:rPr>
  </w:style>
  <w:style w:styleId="style145" w:type="paragraph">
    <w:name w:val="Heading #1"/>
    <w:basedOn w:val="style0"/>
    <w:next w:val="style145"/>
    <w:pPr>
      <w:shd w:fill="FFFFFF" w:val="clear"/>
      <w:spacing w:after="120" w:before="0" w:line="251" w:lineRule="exact"/>
      <w:contextualSpacing w:val="false"/>
    </w:pPr>
    <w:rPr>
      <w:rFonts w:ascii="Sylfaen" w:cs="Sylfaen" w:eastAsia="Sylfaen" w:hAnsi="Sylfaen"/>
      <w:spacing w:val="-10"/>
      <w:sz w:val="19"/>
      <w:szCs w:val="19"/>
    </w:rPr>
  </w:style>
  <w:style w:styleId="style146" w:type="paragraph">
    <w:name w:val="Основной текст1"/>
    <w:basedOn w:val="style0"/>
    <w:next w:val="style146"/>
    <w:pPr>
      <w:shd w:fill="FFFFFF" w:val="clear"/>
      <w:spacing w:after="540" w:before="0" w:line="214" w:lineRule="exact"/>
      <w:contextualSpacing w:val="false"/>
      <w:jc w:val="right"/>
    </w:pPr>
    <w:rPr>
      <w:rFonts w:ascii="Sylfaen" w:cs="Sylfaen" w:eastAsia="Sylfaen" w:hAnsi="Sylfaen"/>
      <w:sz w:val="19"/>
      <w:szCs w:val="19"/>
    </w:rPr>
  </w:style>
  <w:style w:styleId="style147" w:type="paragraph">
    <w:name w:val="Table caption"/>
    <w:basedOn w:val="style0"/>
    <w:next w:val="style147"/>
    <w:pPr>
      <w:shd w:fill="FFFFFF" w:val="clear"/>
      <w:spacing w:after="0" w:before="0" w:lineRule="auto"/>
      <w:contextualSpacing w:val="false"/>
    </w:pPr>
    <w:rPr>
      <w:rFonts w:ascii="Sylfaen" w:cs="Sylfaen" w:eastAsia="Sylfaen" w:hAnsi="Sylfaen"/>
      <w:sz w:val="19"/>
      <w:szCs w:val="19"/>
    </w:rPr>
  </w:style>
  <w:style w:styleId="style148" w:type="paragraph">
    <w:name w:val="ConsPlusCell"/>
    <w:next w:val="style148"/>
    <w:pPr>
      <w:widowControl w:val="false"/>
      <w:suppressAutoHyphens w:val="true"/>
      <w:spacing w:after="0" w:before="0" w:line="100" w:lineRule="atLeast"/>
      <w:contextualSpacing w:val="false"/>
    </w:pPr>
    <w:rPr>
      <w:rFonts w:ascii="Arial" w:cs="Arial" w:eastAsia="Times New Roman" w:hAnsi="Arial"/>
      <w:color w:val="auto"/>
      <w:sz w:val="20"/>
      <w:szCs w:val="20"/>
      <w:lang w:bidi="ar-SA" w:eastAsia="ru-RU" w:val="ru-RU"/>
    </w:rPr>
  </w:style>
  <w:style w:styleId="style149" w:type="paragraph">
    <w:name w:val="Style4"/>
    <w:basedOn w:val="style0"/>
    <w:next w:val="style149"/>
    <w:pPr>
      <w:widowControl w:val="false"/>
      <w:spacing w:after="0" w:before="0" w:line="100" w:lineRule="atLeast"/>
      <w:contextualSpacing w:val="false"/>
    </w:pPr>
    <w:rPr>
      <w:rFonts w:ascii="Times New Roman" w:eastAsia="Times New Roman" w:hAnsi="Times New Roman"/>
      <w:sz w:val="24"/>
      <w:szCs w:val="24"/>
      <w:lang w:eastAsia="ru-RU"/>
    </w:rPr>
  </w:style>
  <w:style w:styleId="style150" w:type="paragraph">
    <w:name w:val="Style5"/>
    <w:basedOn w:val="style0"/>
    <w:next w:val="style150"/>
    <w:pPr>
      <w:widowControl w:val="false"/>
      <w:spacing w:after="0" w:before="0" w:line="276" w:lineRule="exact"/>
      <w:contextualSpacing w:val="false"/>
    </w:pPr>
    <w:rPr>
      <w:rFonts w:ascii="Times New Roman" w:eastAsia="Times New Roman" w:hAnsi="Times New Roman"/>
      <w:sz w:val="24"/>
      <w:szCs w:val="24"/>
      <w:lang w:eastAsia="ru-RU"/>
    </w:rPr>
  </w:style>
  <w:style w:styleId="style151" w:type="paragraph">
    <w:name w:val="Style6"/>
    <w:basedOn w:val="style0"/>
    <w:next w:val="style151"/>
    <w:pPr>
      <w:widowControl w:val="false"/>
      <w:spacing w:after="0" w:before="0" w:line="322" w:lineRule="exact"/>
      <w:contextualSpacing w:val="false"/>
    </w:pPr>
    <w:rPr>
      <w:rFonts w:ascii="Times New Roman" w:eastAsia="Times New Roman" w:hAnsi="Times New Roman"/>
      <w:sz w:val="24"/>
      <w:szCs w:val="24"/>
      <w:lang w:eastAsia="ru-RU"/>
    </w:rPr>
  </w:style>
  <w:style w:styleId="style152" w:type="paragraph">
    <w:name w:val="Стандарт"/>
    <w:basedOn w:val="style122"/>
    <w:next w:val="style152"/>
    <w:pPr>
      <w:widowControl w:val="false"/>
      <w:suppressAutoHyphens w:val="false"/>
      <w:spacing w:after="0" w:before="0" w:line="264" w:lineRule="auto"/>
      <w:ind w:firstLine="720" w:left="0" w:right="0"/>
      <w:contextualSpacing w:val="false"/>
    </w:pPr>
    <w:rPr>
      <w:rFonts w:eastAsia="Times New Roman"/>
      <w:bCs w:val="false"/>
      <w:sz w:val="28"/>
      <w:lang w:eastAsia="ru-RU"/>
    </w:rPr>
  </w:style>
  <w:style w:styleId="style153" w:type="paragraph">
    <w:name w:val="Знак Знак Знак Знак Знак Знак Знак Знак Знак Знак Знак Знак Знак Знак Знак Знак Знак Знак Знак"/>
    <w:basedOn w:val="style0"/>
    <w:next w:val="style153"/>
    <w:pPr>
      <w:spacing w:after="280" w:before="280" w:line="100" w:lineRule="atLeast"/>
      <w:contextualSpacing w:val="false"/>
    </w:pPr>
    <w:rPr>
      <w:rFonts w:ascii="Tahoma" w:eastAsia="Times New Roman" w:hAnsi="Tahoma"/>
      <w:sz w:val="20"/>
      <w:szCs w:val="20"/>
      <w:lang w:val="en-US"/>
    </w:rPr>
  </w:style>
  <w:style w:styleId="style154" w:type="paragraph">
    <w:name w:val="ConsPlusNormal"/>
    <w:next w:val="style154"/>
    <w:pPr>
      <w:widowControl w:val="false"/>
      <w:suppressAutoHyphens w:val="true"/>
      <w:spacing w:after="0" w:before="0" w:line="100" w:lineRule="atLeast"/>
      <w:ind w:firstLine="720" w:left="0" w:right="0"/>
      <w:contextualSpacing w:val="false"/>
    </w:pPr>
    <w:rPr>
      <w:rFonts w:ascii="Arial" w:cs="Arial" w:eastAsia="Times New Roman" w:hAnsi="Arial"/>
      <w:color w:val="auto"/>
      <w:sz w:val="20"/>
      <w:szCs w:val="20"/>
      <w:lang w:bidi="ar-SA" w:eastAsia="ru-RU" w:val="ru-RU"/>
    </w:rPr>
  </w:style>
  <w:style w:styleId="style155" w:type="paragraph">
    <w:name w:val="ConsPlusNonformat"/>
    <w:next w:val="style155"/>
    <w:pPr>
      <w:widowControl w:val="false"/>
      <w:suppressAutoHyphens w:val="true"/>
      <w:spacing w:after="0" w:before="0" w:line="100" w:lineRule="atLeast"/>
      <w:contextualSpacing w:val="false"/>
    </w:pPr>
    <w:rPr>
      <w:rFonts w:ascii="Courier New" w:cs="Courier New" w:eastAsia="Times New Roman" w:hAnsi="Courier New"/>
      <w:color w:val="auto"/>
      <w:sz w:val="20"/>
      <w:szCs w:val="20"/>
      <w:lang w:bidi="ar-SA" w:eastAsia="ru-RU" w:val="ru-RU"/>
    </w:rPr>
  </w:style>
  <w:style w:styleId="style156" w:type="paragraph">
    <w:name w:val="Основной текст 31"/>
    <w:next w:val="style156"/>
    <w:pPr>
      <w:widowControl w:val="false"/>
      <w:suppressAutoHyphens w:val="true"/>
      <w:spacing w:after="120" w:before="0" w:line="100" w:lineRule="atLeast"/>
      <w:contextualSpacing w:val="false"/>
    </w:pPr>
    <w:rPr>
      <w:rFonts w:ascii="Times New Roman" w:cs="Times New Roman" w:eastAsia="Times New Roman" w:hAnsi="Times New Roman"/>
      <w:color w:val="auto"/>
      <w:sz w:val="16"/>
      <w:szCs w:val="16"/>
      <w:lang w:bidi="ar-SA" w:eastAsia="ar-SA" w:val="ru-RU"/>
    </w:rPr>
  </w:style>
  <w:style w:styleId="style157" w:type="paragraph">
    <w:name w:val="Основной текст с отступом 21"/>
    <w:next w:val="style157"/>
    <w:pPr>
      <w:widowControl w:val="false"/>
      <w:suppressAutoHyphens w:val="true"/>
      <w:spacing w:after="120" w:before="0" w:line="480" w:lineRule="auto"/>
      <w:ind w:hanging="0" w:left="283" w:right="0"/>
      <w:contextualSpacing w:val="false"/>
    </w:pPr>
    <w:rPr>
      <w:rFonts w:ascii="Times New Roman" w:cs="Times New Roman" w:eastAsia="Times New Roman" w:hAnsi="Times New Roman"/>
      <w:color w:val="auto"/>
      <w:sz w:val="24"/>
      <w:szCs w:val="24"/>
      <w:lang w:bidi="ar-SA" w:eastAsia="ar-SA" w:val="ru-RU"/>
    </w:rPr>
  </w:style>
  <w:style w:styleId="style158" w:type="paragraph">
    <w:name w:val="Обычный (веб)1"/>
    <w:next w:val="style158"/>
    <w:pPr>
      <w:widowControl w:val="false"/>
      <w:suppressAutoHyphens w:val="true"/>
      <w:spacing w:after="200" w:before="0" w:line="276" w:lineRule="auto"/>
      <w:contextualSpacing w:val="false"/>
    </w:pPr>
    <w:rPr>
      <w:rFonts w:ascii="Calibri" w:cs="font341" w:eastAsia="Lucida Sans Unicode" w:hAnsi="Calibri"/>
      <w:color w:val="auto"/>
      <w:sz w:val="22"/>
      <w:szCs w:val="22"/>
      <w:lang w:bidi="ar-SA" w:eastAsia="ar-SA" w:val="ru-RU"/>
    </w:rPr>
  </w:style>
  <w:style w:styleId="style159" w:type="paragraph">
    <w:name w:val="ConsNonformat"/>
    <w:next w:val="style159"/>
    <w:pPr>
      <w:widowControl/>
      <w:suppressAutoHyphens w:val="true"/>
      <w:spacing w:after="0" w:before="0" w:line="100" w:lineRule="atLeast"/>
      <w:ind w:hanging="0" w:left="0" w:right="19772"/>
      <w:contextualSpacing w:val="false"/>
    </w:pPr>
    <w:rPr>
      <w:rFonts w:ascii="Courier New" w:cs="Courier New" w:eastAsia="Times New Roman" w:hAnsi="Courier New"/>
      <w:color w:val="auto"/>
      <w:sz w:val="20"/>
      <w:szCs w:val="20"/>
      <w:lang w:bidi="ar-SA" w:eastAsia="ar-SA" w:val="ru-RU"/>
    </w:rPr>
  </w:style>
  <w:style w:styleId="style160" w:type="paragraph">
    <w:name w:val="rtejustify1"/>
    <w:next w:val="style160"/>
    <w:pPr>
      <w:widowControl w:val="false"/>
      <w:suppressAutoHyphens w:val="true"/>
      <w:spacing w:after="180" w:before="0" w:line="270" w:lineRule="atLeast"/>
      <w:contextualSpacing w:val="false"/>
      <w:jc w:val="both"/>
    </w:pPr>
    <w:rPr>
      <w:rFonts w:ascii="Arial" w:cs="Arial" w:eastAsia="Times New Roman" w:hAnsi="Arial"/>
      <w:color w:val="auto"/>
      <w:sz w:val="21"/>
      <w:szCs w:val="21"/>
      <w:lang w:bidi="ar-SA" w:eastAsia="ar-SA" w:val="ru-RU"/>
    </w:rPr>
  </w:style>
  <w:style w:styleId="style161" w:type="paragraph">
    <w:name w:val="Верхний колонтитул2"/>
    <w:basedOn w:val="style0"/>
    <w:next w:val="style161"/>
    <w:pPr>
      <w:widowControl w:val="false"/>
      <w:tabs>
        <w:tab w:leader="none" w:pos="4153" w:val="center"/>
        <w:tab w:leader="none" w:pos="8306" w:val="right"/>
      </w:tabs>
      <w:spacing w:after="0" w:before="0" w:line="100" w:lineRule="atLeast"/>
      <w:contextualSpacing w:val="false"/>
      <w:jc w:val="both"/>
    </w:pPr>
    <w:rPr>
      <w:rFonts w:ascii="Times New Roman" w:eastAsia="Times New Roman" w:hAnsi="Times New Roman"/>
      <w:bCs/>
      <w:sz w:val="24"/>
      <w:szCs w:val="24"/>
      <w:lang w:eastAsia="ru-RU"/>
    </w:rPr>
  </w:style>
  <w:style w:styleId="style162" w:type="paragraph">
    <w:name w:val="S_Обычний подчёркнутый"/>
    <w:basedOn w:val="style0"/>
    <w:next w:val="style162"/>
    <w:pPr>
      <w:suppressAutoHyphens w:val="true"/>
      <w:spacing w:after="0" w:before="0" w:line="300" w:lineRule="auto"/>
      <w:ind w:firstLine="709" w:left="0" w:right="0"/>
      <w:contextualSpacing w:val="false"/>
      <w:jc w:val="both"/>
    </w:pPr>
    <w:rPr>
      <w:rFonts w:ascii="Times New Roman" w:eastAsia="Times New Roman" w:hAnsi="Times New Roman"/>
      <w:b/>
      <w:bCs/>
      <w:sz w:val="24"/>
      <w:szCs w:val="24"/>
      <w:lang w:eastAsia="ar-SA"/>
    </w:rPr>
  </w:style>
  <w:style w:styleId="style163" w:type="paragraph">
    <w:name w:val="ConsNormal"/>
    <w:next w:val="style163"/>
    <w:pPr>
      <w:widowControl w:val="false"/>
      <w:suppressAutoHyphens w:val="true"/>
      <w:spacing w:after="0" w:before="0" w:line="100" w:lineRule="atLeast"/>
      <w:ind w:firstLine="720" w:left="0" w:right="19772"/>
      <w:contextualSpacing w:val="false"/>
    </w:pPr>
    <w:rPr>
      <w:rFonts w:ascii="Arial" w:cs="Arial" w:eastAsia="Times New Roman" w:hAnsi="Arial"/>
      <w:color w:val="auto"/>
      <w:sz w:val="20"/>
      <w:szCs w:val="20"/>
      <w:lang w:bidi="ar-SA" w:eastAsia="ru-RU" w:val="ru-RU"/>
    </w:rPr>
  </w:style>
  <w:style w:styleId="style164" w:type="paragraph">
    <w:name w:val="çàãîëîâîê 4"/>
    <w:basedOn w:val="style0"/>
    <w:next w:val="style164"/>
    <w:pPr>
      <w:keepNext/>
      <w:spacing w:after="0" w:before="0" w:line="100" w:lineRule="atLeast"/>
      <w:contextualSpacing w:val="false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styleId="style165" w:type="paragraph">
    <w:name w:val="çàãîëîâîê 7"/>
    <w:basedOn w:val="style0"/>
    <w:next w:val="style165"/>
    <w:pPr>
      <w:keepNext/>
      <w:spacing w:after="0" w:before="0" w:line="100" w:lineRule="atLeast"/>
      <w:contextualSpacing w:val="false"/>
    </w:pPr>
    <w:rPr>
      <w:rFonts w:ascii="Times New Roman" w:eastAsia="Times New Roman" w:hAnsi="Times New Roman"/>
      <w:sz w:val="28"/>
      <w:szCs w:val="28"/>
      <w:lang w:eastAsia="ru-RU"/>
    </w:rPr>
  </w:style>
  <w:style w:styleId="style166" w:type="paragraph">
    <w:name w:val="Цитата1"/>
    <w:next w:val="style166"/>
    <w:pPr>
      <w:widowControl w:val="false"/>
      <w:suppressAutoHyphens w:val="true"/>
      <w:spacing w:after="200" w:before="0" w:line="276" w:lineRule="auto"/>
      <w:ind w:firstLine="567" w:left="-567" w:right="-1"/>
      <w:contextualSpacing w:val="false"/>
      <w:jc w:val="both"/>
    </w:pPr>
    <w:rPr>
      <w:rFonts w:ascii="Calibri" w:cs="font341" w:eastAsia="Lucida Sans Unicode" w:hAnsi="Calibri"/>
      <w:color w:val="auto"/>
      <w:sz w:val="28"/>
      <w:szCs w:val="20"/>
      <w:lang w:bidi="ar-SA" w:eastAsia="ar-SA" w:val="ru-RU"/>
    </w:rPr>
  </w:style>
  <w:style w:styleId="style167" w:type="paragraph">
    <w:name w:val="western"/>
    <w:basedOn w:val="style0"/>
    <w:next w:val="style167"/>
    <w:pPr>
      <w:spacing w:after="0" w:before="280" w:line="100" w:lineRule="atLeast"/>
      <w:contextualSpacing w:val="false"/>
      <w:jc w:val="center"/>
    </w:pPr>
    <w:rPr>
      <w:rFonts w:ascii="Times New Roman" w:eastAsia="Times New Roman" w:hAnsi="Times New Roman"/>
      <w:b/>
      <w:bCs/>
      <w:color w:val="000000"/>
      <w:sz w:val="16"/>
      <w:szCs w:val="16"/>
      <w:lang w:eastAsia="ru-RU"/>
    </w:rPr>
  </w:style>
  <w:style w:styleId="style168" w:type="paragraph">
    <w:name w:val="ConsPlusTitle"/>
    <w:next w:val="style168"/>
    <w:pPr>
      <w:widowControl w:val="false"/>
      <w:suppressAutoHyphens w:val="true"/>
      <w:spacing w:after="0" w:before="0" w:line="100" w:lineRule="atLeast"/>
      <w:contextualSpacing w:val="false"/>
    </w:pPr>
    <w:rPr>
      <w:rFonts w:ascii="Times New Roman" w:cs="Times New Roman" w:eastAsia="Times New Roman" w:hAnsi="Times New Roman"/>
      <w:b/>
      <w:bCs/>
      <w:color w:val="auto"/>
      <w:sz w:val="24"/>
      <w:szCs w:val="24"/>
      <w:lang w:bidi="ar-SA" w:eastAsia="ru-RU" w:val="ru-RU"/>
    </w:rPr>
  </w:style>
  <w:style w:styleId="style169" w:type="paragraph">
    <w:name w:val="Знак"/>
    <w:basedOn w:val="style0"/>
    <w:next w:val="style169"/>
    <w:pPr>
      <w:spacing w:after="160" w:before="0" w:line="240" w:lineRule="exact"/>
      <w:contextualSpacing w:val="false"/>
    </w:pPr>
    <w:rPr>
      <w:rFonts w:ascii="Verdana" w:eastAsia="Times New Roman" w:hAnsi="Verdana"/>
      <w:sz w:val="20"/>
      <w:szCs w:val="20"/>
      <w:lang w:val="en-US"/>
    </w:rPr>
  </w:style>
  <w:style w:styleId="style170" w:type="paragraph">
    <w:name w:val="Обычный2"/>
    <w:next w:val="style170"/>
    <w:pPr>
      <w:widowControl/>
      <w:suppressAutoHyphens w:val="true"/>
      <w:spacing w:after="0" w:before="0" w:line="100" w:lineRule="atLeast"/>
      <w:contextualSpacing w:val="false"/>
    </w:pPr>
    <w:rPr>
      <w:rFonts w:ascii="Times New Roman" w:cs="Times New Roman" w:eastAsia="Times New Roman" w:hAnsi="Times New Roman"/>
      <w:color w:val="auto"/>
      <w:sz w:val="22"/>
      <w:szCs w:val="20"/>
      <w:lang w:bidi="ar-SA" w:eastAsia="ru-RU" w:val="ru-RU"/>
    </w:rPr>
  </w:style>
  <w:style w:styleId="style171" w:type="paragraph">
    <w:name w:val="Char Знак"/>
    <w:basedOn w:val="style0"/>
    <w:next w:val="style171"/>
    <w:pPr>
      <w:spacing w:after="280" w:before="280" w:line="100" w:lineRule="atLeast"/>
      <w:contextualSpacing w:val="false"/>
    </w:pPr>
    <w:rPr>
      <w:rFonts w:ascii="Tahoma" w:eastAsia="Times New Roman" w:hAnsi="Tahoma"/>
      <w:sz w:val="20"/>
      <w:szCs w:val="20"/>
      <w:lang w:val="en-US"/>
    </w:rPr>
  </w:style>
  <w:style w:styleId="style172" w:type="paragraph">
    <w:name w:val="_ЗАГОЛОВОК 1"/>
    <w:basedOn w:val="style0"/>
    <w:next w:val="style172"/>
    <w:pPr>
      <w:keepNext/>
      <w:pageBreakBefore/>
      <w:spacing w:after="0" w:before="0" w:line="300" w:lineRule="auto"/>
      <w:contextualSpacing w:val="false"/>
      <w:jc w:val="center"/>
    </w:pPr>
    <w:rPr>
      <w:rFonts w:ascii="Times New Roman" w:eastAsia="Times New Roman" w:hAnsi="Times New Roman"/>
      <w:b/>
      <w:bCs/>
      <w:sz w:val="24"/>
      <w:szCs w:val="24"/>
      <w:lang w:eastAsia="ru-RU" w:val="ru-RU"/>
    </w:rPr>
  </w:style>
  <w:style w:styleId="style173" w:type="paragraph">
    <w:name w:val="endnote text"/>
    <w:basedOn w:val="style0"/>
    <w:next w:val="style173"/>
    <w:pPr/>
    <w:rPr>
      <w:sz w:val="20"/>
      <w:szCs w:val="20"/>
      <w:lang w:val="ru-RU"/>
    </w:rPr>
  </w:style>
  <w:style w:styleId="style174" w:type="paragraph">
    <w:name w:val="Заголовок оглавления"/>
    <w:basedOn w:val="style1"/>
    <w:next w:val="style174"/>
    <w:pPr/>
    <w:rPr>
      <w:lang w:eastAsia="ru-RU" w:val="ru-RU"/>
    </w:rPr>
  </w:style>
  <w:style w:styleId="style175" w:type="paragraph">
    <w:name w:val="Оглавление 1"/>
    <w:basedOn w:val="style0"/>
    <w:next w:val="style175"/>
    <w:pPr>
      <w:tabs>
        <w:tab w:leader="dot" w:pos="9922" w:val="right"/>
      </w:tabs>
      <w:spacing w:after="0" w:before="0" w:line="300" w:lineRule="auto"/>
      <w:contextualSpacing w:val="false"/>
      <w:jc w:val="both"/>
    </w:pPr>
    <w:rPr>
      <w:rFonts w:ascii="Times New Roman Полужирный" w:hAnsi="Times New Roman Полужирный"/>
      <w:caps/>
      <w:sz w:val="24"/>
      <w:szCs w:val="24"/>
    </w:rPr>
  </w:style>
  <w:style w:styleId="style176" w:type="paragraph">
    <w:name w:val="Оглавление 3"/>
    <w:basedOn w:val="style0"/>
    <w:next w:val="style176"/>
    <w:pPr>
      <w:tabs>
        <w:tab w:leader="dot" w:pos="9922" w:val="right"/>
      </w:tabs>
      <w:spacing w:after="0" w:before="0" w:line="300" w:lineRule="auto"/>
      <w:ind w:hanging="0" w:left="567" w:right="0"/>
      <w:contextualSpacing w:val="false"/>
    </w:pPr>
    <w:rPr>
      <w:rFonts w:ascii="Times New Roman" w:cs="Arial" w:hAnsi="Times New Roman"/>
      <w:sz w:val="24"/>
    </w:rPr>
  </w:style>
  <w:style w:styleId="style177" w:type="paragraph">
    <w:name w:val="Оглавление 2"/>
    <w:basedOn w:val="style0"/>
    <w:next w:val="style177"/>
    <w:pPr>
      <w:tabs>
        <w:tab w:leader="dot" w:pos="9922" w:val="right"/>
      </w:tabs>
      <w:spacing w:after="0" w:before="0" w:line="300" w:lineRule="auto"/>
      <w:ind w:hanging="0" w:left="425" w:right="0"/>
      <w:contextualSpacing w:val="false"/>
    </w:pPr>
    <w:rPr>
      <w:rFonts w:ascii="Times New Roman" w:cs="Arial" w:eastAsia="Times New Roman" w:hAnsi="Times New Roman"/>
      <w:sz w:val="24"/>
      <w:lang w:eastAsia="ru-RU"/>
    </w:rPr>
  </w:style>
  <w:style w:styleId="style178" w:type="paragraph">
    <w:name w:val="Оглавление 4"/>
    <w:basedOn w:val="style0"/>
    <w:next w:val="style178"/>
    <w:pPr>
      <w:spacing w:after="100" w:before="0"/>
      <w:ind w:hanging="0" w:left="660" w:right="0"/>
      <w:contextualSpacing w:val="false"/>
    </w:pPr>
    <w:rPr>
      <w:rFonts w:eastAsia="Times New Roman"/>
      <w:lang w:eastAsia="ru-RU"/>
    </w:rPr>
  </w:style>
  <w:style w:styleId="style179" w:type="paragraph">
    <w:name w:val="Оглавление 5"/>
    <w:basedOn w:val="style0"/>
    <w:next w:val="style179"/>
    <w:pPr>
      <w:spacing w:after="100" w:before="0"/>
      <w:ind w:hanging="0" w:left="880" w:right="0"/>
      <w:contextualSpacing w:val="false"/>
    </w:pPr>
    <w:rPr>
      <w:rFonts w:eastAsia="Times New Roman"/>
      <w:lang w:eastAsia="ru-RU"/>
    </w:rPr>
  </w:style>
  <w:style w:styleId="style180" w:type="paragraph">
    <w:name w:val="Оглавление 6"/>
    <w:basedOn w:val="style0"/>
    <w:next w:val="style180"/>
    <w:pPr>
      <w:spacing w:after="100" w:before="0"/>
      <w:ind w:hanging="0" w:left="1100" w:right="0"/>
      <w:contextualSpacing w:val="false"/>
    </w:pPr>
    <w:rPr>
      <w:rFonts w:eastAsia="Times New Roman"/>
      <w:lang w:eastAsia="ru-RU"/>
    </w:rPr>
  </w:style>
  <w:style w:styleId="style181" w:type="paragraph">
    <w:name w:val="Оглавление 7"/>
    <w:basedOn w:val="style0"/>
    <w:next w:val="style181"/>
    <w:pPr>
      <w:spacing w:after="100" w:before="0"/>
      <w:ind w:hanging="0" w:left="1320" w:right="0"/>
      <w:contextualSpacing w:val="false"/>
    </w:pPr>
    <w:rPr>
      <w:rFonts w:eastAsia="Times New Roman"/>
      <w:lang w:eastAsia="ru-RU"/>
    </w:rPr>
  </w:style>
  <w:style w:styleId="style182" w:type="paragraph">
    <w:name w:val="Оглавление 8"/>
    <w:basedOn w:val="style0"/>
    <w:next w:val="style182"/>
    <w:pPr>
      <w:spacing w:after="100" w:before="0"/>
      <w:ind w:hanging="0" w:left="1540" w:right="0"/>
      <w:contextualSpacing w:val="false"/>
    </w:pPr>
    <w:rPr>
      <w:rFonts w:eastAsia="Times New Roman"/>
      <w:lang w:eastAsia="ru-RU"/>
    </w:rPr>
  </w:style>
  <w:style w:styleId="style183" w:type="paragraph">
    <w:name w:val="Оглавление 9"/>
    <w:basedOn w:val="style0"/>
    <w:next w:val="style183"/>
    <w:pPr>
      <w:spacing w:after="100" w:before="0"/>
      <w:ind w:hanging="0" w:left="1760" w:right="0"/>
      <w:contextualSpacing w:val="false"/>
    </w:pPr>
    <w:rPr>
      <w:rFonts w:eastAsia="Times New Roman"/>
      <w:lang w:eastAsia="ru-RU"/>
    </w:rPr>
  </w:style>
  <w:style w:styleId="style184" w:type="paragraph">
    <w:name w:val="Body Text Indent 3"/>
    <w:basedOn w:val="style0"/>
    <w:next w:val="style184"/>
    <w:pPr>
      <w:spacing w:after="120" w:before="0"/>
      <w:ind w:hanging="0" w:left="283" w:right="0"/>
      <w:contextualSpacing w:val="false"/>
    </w:pPr>
    <w:rPr>
      <w:sz w:val="16"/>
      <w:szCs w:val="16"/>
      <w:lang w:val="ru-RU"/>
    </w:rPr>
  </w:style>
  <w:style w:styleId="style185" w:type="paragraph">
    <w:name w:val="Табличный_заголовки"/>
    <w:basedOn w:val="style0"/>
    <w:next w:val="style185"/>
    <w:pPr>
      <w:keepNext/>
      <w:keepLines/>
      <w:spacing w:after="0" w:before="0" w:line="100" w:lineRule="atLeast"/>
      <w:contextualSpacing w:val="false"/>
      <w:jc w:val="center"/>
    </w:pPr>
    <w:rPr>
      <w:rFonts w:ascii="Times New Roman" w:eastAsia="Times New Roman" w:hAnsi="Times New Roman"/>
      <w:b/>
      <w:lang w:eastAsia="ru-RU"/>
    </w:rPr>
  </w:style>
  <w:style w:styleId="style186" w:type="paragraph">
    <w:name w:val="Табличный_центр_10"/>
    <w:basedOn w:val="style0"/>
    <w:next w:val="style186"/>
    <w:pPr>
      <w:spacing w:after="0" w:before="0" w:line="100" w:lineRule="atLeast"/>
      <w:contextualSpacing w:val="false"/>
      <w:jc w:val="center"/>
    </w:pPr>
    <w:rPr>
      <w:rFonts w:ascii="Times New Roman" w:eastAsia="Times New Roman" w:hAnsi="Times New Roman"/>
      <w:sz w:val="20"/>
      <w:szCs w:val="24"/>
      <w:lang w:eastAsia="ru-RU"/>
    </w:rPr>
  </w:style>
  <w:style w:styleId="style187" w:type="paragraph">
    <w:name w:val="Табличный_слева_10"/>
    <w:basedOn w:val="style0"/>
    <w:next w:val="style187"/>
    <w:pPr>
      <w:spacing w:after="0" w:before="0" w:line="100" w:lineRule="atLeast"/>
      <w:contextualSpacing w:val="false"/>
    </w:pPr>
    <w:rPr>
      <w:rFonts w:ascii="Times New Roman" w:eastAsia="Times New Roman" w:hAnsi="Times New Roman"/>
      <w:sz w:val="20"/>
      <w:szCs w:val="24"/>
      <w:lang w:eastAsia="ru-RU"/>
    </w:rPr>
  </w:style>
  <w:style w:styleId="style188" w:type="paragraph">
    <w:name w:val="Абзац"/>
    <w:basedOn w:val="style0"/>
    <w:next w:val="style188"/>
    <w:pPr>
      <w:spacing w:after="60" w:before="120" w:line="100" w:lineRule="atLeast"/>
      <w:ind w:firstLine="567" w:left="0" w:right="0"/>
      <w:contextualSpacing w:val="false"/>
      <w:jc w:val="both"/>
    </w:pPr>
    <w:rPr>
      <w:rFonts w:ascii="Times New Roman" w:eastAsia="Times New Roman" w:hAnsi="Times New Roman"/>
      <w:sz w:val="24"/>
      <w:szCs w:val="24"/>
      <w:lang w:eastAsia="ru-RU" w:val="ru-RU"/>
    </w:rPr>
  </w:style>
  <w:style w:styleId="style189" w:type="paragraph">
    <w:name w:val="Обычный в таблице"/>
    <w:basedOn w:val="style0"/>
    <w:next w:val="style189"/>
    <w:pPr>
      <w:suppressAutoHyphens w:val="true"/>
      <w:spacing w:after="0" w:before="0" w:line="360" w:lineRule="auto"/>
      <w:ind w:firstLine="709" w:left="0" w:right="0"/>
      <w:contextualSpacing w:val="false"/>
      <w:jc w:val="both"/>
    </w:pPr>
    <w:rPr>
      <w:rFonts w:ascii="Times New Roman" w:eastAsia="Times New Roman" w:hAnsi="Times New Roman"/>
      <w:sz w:val="28"/>
      <w:szCs w:val="28"/>
      <w:lang w:eastAsia="ar-SA" w:val="ru-RU"/>
    </w:rPr>
  </w:style>
  <w:style w:styleId="style190" w:type="paragraph">
    <w:name w:val="caption"/>
    <w:basedOn w:val="style0"/>
    <w:next w:val="style190"/>
    <w:pPr>
      <w:spacing w:after="120" w:before="120" w:line="100" w:lineRule="atLeast"/>
      <w:contextualSpacing w:val="false"/>
      <w:jc w:val="center"/>
    </w:pPr>
    <w:rPr>
      <w:rFonts w:ascii="Times New Roman" w:eastAsia="Times New Roman" w:hAnsi="Times New Roman"/>
      <w:b/>
      <w:bCs/>
      <w:szCs w:val="20"/>
      <w:lang w:eastAsia="ru-RU"/>
    </w:rPr>
  </w:style>
  <w:style w:styleId="style191" w:type="paragraph">
    <w:name w:val="Табличный_центр"/>
    <w:basedOn w:val="style0"/>
    <w:next w:val="style191"/>
    <w:pPr>
      <w:spacing w:after="0" w:before="0" w:line="100" w:lineRule="atLeast"/>
      <w:contextualSpacing w:val="false"/>
      <w:jc w:val="center"/>
    </w:pPr>
    <w:rPr>
      <w:rFonts w:ascii="Times New Roman" w:eastAsia="Times New Roman" w:hAnsi="Times New Roman"/>
      <w:lang w:eastAsia="ru-RU"/>
    </w:rPr>
  </w:style>
  <w:style w:styleId="style192" w:type="paragraph">
    <w:name w:val="Обычный1"/>
    <w:next w:val="style192"/>
    <w:pPr>
      <w:widowControl w:val="false"/>
      <w:suppressAutoHyphens w:val="true"/>
      <w:spacing w:after="0" w:before="0" w:line="259" w:lineRule="auto"/>
      <w:ind w:firstLine="220" w:left="0" w:right="0"/>
      <w:contextualSpacing w:val="false"/>
      <w:jc w:val="both"/>
    </w:pPr>
    <w:rPr>
      <w:rFonts w:ascii="Arial" w:cs="Times New Roman" w:eastAsia="Times New Roman" w:hAnsi="Arial"/>
      <w:b/>
      <w:color w:val="auto"/>
      <w:sz w:val="18"/>
      <w:szCs w:val="20"/>
      <w:lang w:bidi="ar-SA" w:eastAsia="ru-RU" w:val="ru-RU"/>
    </w:rPr>
  </w:style>
  <w:style w:styleId="style193" w:type="paragraph">
    <w:name w:val="Табличный"/>
    <w:basedOn w:val="style0"/>
    <w:next w:val="style193"/>
    <w:pPr>
      <w:keepNext/>
      <w:widowControl w:val="false"/>
      <w:spacing w:after="60" w:before="60" w:line="100" w:lineRule="atLeast"/>
      <w:contextualSpacing w:val="false"/>
      <w:jc w:val="center"/>
    </w:pPr>
    <w:rPr>
      <w:rFonts w:ascii="Times New Roman" w:eastAsia="Times New Roman" w:hAnsi="Times New Roman"/>
      <w:b/>
      <w:szCs w:val="20"/>
      <w:lang w:eastAsia="ru-RU"/>
    </w:rPr>
  </w:style>
  <w:style w:styleId="style194" w:type="paragraph">
    <w:name w:val="Название таблицы"/>
    <w:basedOn w:val="style190"/>
    <w:next w:val="style194"/>
    <w:pPr>
      <w:keepNext/>
      <w:jc w:val="left"/>
    </w:pPr>
    <w:rPr>
      <w:szCs w:val="22"/>
    </w:rPr>
  </w:style>
  <w:style w:styleId="style195" w:type="paragraph">
    <w:name w:val="Табличный_слева"/>
    <w:basedOn w:val="style0"/>
    <w:next w:val="style195"/>
    <w:pPr>
      <w:spacing w:after="0" w:before="0" w:line="100" w:lineRule="atLeast"/>
      <w:contextualSpacing w:val="false"/>
    </w:pPr>
    <w:rPr>
      <w:rFonts w:ascii="Times New Roman" w:eastAsia="Times New Roman" w:hAnsi="Times New Roman"/>
      <w:lang w:eastAsia="ru-RU"/>
    </w:rPr>
  </w:style>
  <w:style w:styleId="style196" w:type="paragraph">
    <w:name w:val="Default"/>
    <w:next w:val="style196"/>
    <w:pPr>
      <w:widowControl/>
      <w:suppressAutoHyphens w:val="true"/>
      <w:spacing w:after="0" w:before="0" w:line="100" w:lineRule="atLeast"/>
      <w:contextualSpacing w:val="false"/>
    </w:pPr>
    <w:rPr>
      <w:rFonts w:ascii="Times New Roman" w:cs="Times New Roman" w:eastAsia="Times New Roman" w:hAnsi="Times New Roman"/>
      <w:color w:val="000000"/>
      <w:sz w:val="24"/>
      <w:szCs w:val="24"/>
      <w:lang w:bidi="ar-SA" w:eastAsia="ru-RU" w:val="ru-RU"/>
    </w:rPr>
  </w:style>
  <w:style w:styleId="style197" w:type="paragraph">
    <w:name w:val="S_Обычный"/>
    <w:basedOn w:val="style0"/>
    <w:next w:val="style197"/>
    <w:pPr>
      <w:spacing w:after="0" w:before="0" w:line="360" w:lineRule="auto"/>
      <w:ind w:firstLine="709" w:left="0" w:right="0"/>
      <w:contextualSpacing w:val="false"/>
      <w:jc w:val="both"/>
    </w:pPr>
    <w:rPr>
      <w:rFonts w:ascii="Times New Roman" w:eastAsia="Times New Roman" w:hAnsi="Times New Roman"/>
      <w:sz w:val="24"/>
      <w:szCs w:val="24"/>
      <w:lang w:eastAsia="ru-RU" w:val="ru-RU"/>
    </w:rPr>
  </w:style>
  <w:style w:styleId="style198" w:type="paragraph">
    <w:name w:val="Прижатый влево"/>
    <w:basedOn w:val="style0"/>
    <w:next w:val="style198"/>
    <w:pPr>
      <w:widowControl w:val="false"/>
      <w:spacing w:after="0" w:before="0" w:line="100" w:lineRule="atLeast"/>
      <w:contextualSpacing w:val="false"/>
    </w:pPr>
    <w:rPr>
      <w:rFonts w:ascii="Arial" w:cs="Arial" w:eastAsia="Times New Roman" w:hAnsi="Arial"/>
      <w:sz w:val="24"/>
      <w:szCs w:val="24"/>
      <w:lang w:eastAsia="ru-RU"/>
    </w:rPr>
  </w:style>
  <w:style w:styleId="style199" w:type="paragraph">
    <w:name w:val="S_Обычный в таблице"/>
    <w:basedOn w:val="style0"/>
    <w:next w:val="style199"/>
    <w:pPr>
      <w:spacing w:after="0" w:before="0" w:line="100" w:lineRule="atLeast"/>
      <w:contextualSpacing w:val="false"/>
      <w:jc w:val="both"/>
    </w:pPr>
    <w:rPr>
      <w:rFonts w:ascii="Times New Roman" w:eastAsia="Times New Roman" w:hAnsi="Times New Roman"/>
      <w:sz w:val="24"/>
      <w:szCs w:val="24"/>
      <w:lang w:eastAsia="ru-RU" w:val="ru-RU"/>
    </w:rPr>
  </w:style>
  <w:style w:styleId="style200" w:type="paragraph">
    <w:name w:val="Заголовок №2"/>
    <w:basedOn w:val="style0"/>
    <w:next w:val="style200"/>
    <w:pPr>
      <w:widowControl w:val="false"/>
      <w:shd w:fill="FFFFFF" w:val="clear"/>
      <w:spacing w:after="180" w:before="60" w:line="240" w:lineRule="atLeast"/>
      <w:contextualSpacing w:val="false"/>
      <w:jc w:val="center"/>
    </w:pPr>
    <w:rPr>
      <w:rFonts w:ascii="Times New Roman" w:cs="Calibri" w:hAnsi="Times New Roman"/>
      <w:b/>
      <w:bCs/>
      <w:sz w:val="27"/>
      <w:szCs w:val="27"/>
    </w:rPr>
  </w:style>
  <w:style w:styleId="style201" w:type="paragraph">
    <w:name w:val="Основной текст (3)1"/>
    <w:basedOn w:val="style0"/>
    <w:next w:val="style201"/>
    <w:pPr>
      <w:widowControl w:val="false"/>
      <w:shd w:fill="FFFFFF" w:val="clear"/>
      <w:spacing w:after="600" w:before="0" w:line="240" w:lineRule="atLeast"/>
      <w:contextualSpacing w:val="false"/>
    </w:pPr>
    <w:rPr>
      <w:rFonts w:ascii="Times New Roman" w:cs="Calibri" w:hAnsi="Times New Roman"/>
      <w:b/>
      <w:bCs/>
      <w:sz w:val="18"/>
      <w:szCs w:val="18"/>
    </w:rPr>
  </w:style>
  <w:style w:styleId="style202" w:type="paragraph">
    <w:name w:val="Основной текст4"/>
    <w:basedOn w:val="style0"/>
    <w:next w:val="style202"/>
    <w:pPr>
      <w:widowControl w:val="false"/>
      <w:shd w:fill="FFFFFF" w:val="clear"/>
      <w:spacing w:after="6360" w:before="780" w:lineRule="auto"/>
      <w:ind w:hanging="340" w:left="0" w:right="0"/>
      <w:contextualSpacing w:val="false"/>
      <w:jc w:val="center"/>
    </w:pPr>
    <w:rPr>
      <w:rFonts w:ascii="Times New Roman" w:cs="" w:eastAsia="Times New Roman" w:hAnsi="Times New Roman"/>
    </w:rPr>
  </w:style>
  <w:style w:styleId="style203" w:type="paragraph">
    <w:name w:val="Основной текст (6)"/>
    <w:basedOn w:val="style0"/>
    <w:next w:val="style203"/>
    <w:pPr>
      <w:widowControl w:val="false"/>
      <w:shd w:fill="FFFFFF" w:val="clear"/>
      <w:spacing w:after="0" w:before="0" w:line="413" w:lineRule="exact"/>
      <w:contextualSpacing w:val="false"/>
      <w:jc w:val="both"/>
    </w:pPr>
    <w:rPr>
      <w:rFonts w:ascii="Times New Roman" w:cs="" w:eastAsia="Times New Roman" w:hAnsi="Times New Roman"/>
      <w:b/>
      <w:bCs/>
      <w:i/>
      <w:iCs/>
    </w:rPr>
  </w:style>
  <w:style w:styleId="style204" w:type="paragraph">
    <w:name w:val="Основной текст 0"/>
    <w:basedOn w:val="style0"/>
    <w:next w:val="style204"/>
    <w:pPr>
      <w:suppressAutoHyphens w:val="true"/>
      <w:spacing w:after="0" w:before="0" w:line="100" w:lineRule="atLeast"/>
      <w:ind w:firstLine="539" w:left="0" w:right="0"/>
      <w:contextualSpacing w:val="false"/>
      <w:jc w:val="both"/>
    </w:pPr>
    <w:rPr>
      <w:rFonts w:ascii="Times New Roman" w:hAnsi="Times New Roman"/>
      <w:color w:val="000000"/>
      <w:sz w:val="24"/>
      <w:szCs w:val="24"/>
      <w:lang w:eastAsia="ar-SA"/>
    </w:rPr>
  </w:style>
  <w:style w:styleId="style205" w:type="paragraph">
    <w:name w:val="Основной текст с отступом"/>
    <w:basedOn w:val="style0"/>
    <w:next w:val="style205"/>
    <w:pPr>
      <w:spacing w:after="120" w:before="0"/>
      <w:ind w:hanging="0" w:left="283" w:right="0"/>
      <w:contextualSpacing w:val="false"/>
    </w:pPr>
    <w:rPr>
      <w:rFonts w:ascii="Arial" w:hAnsi="Arial"/>
    </w:rPr>
  </w:style>
  <w:style w:styleId="style206" w:type="paragraph">
    <w:name w:val="annotation text"/>
    <w:basedOn w:val="style0"/>
    <w:next w:val="style206"/>
    <w:pPr/>
    <w:rPr>
      <w:rFonts w:ascii="Arial" w:hAnsi="Arial"/>
      <w:sz w:val="20"/>
      <w:szCs w:val="20"/>
    </w:rPr>
  </w:style>
  <w:style w:styleId="style207" w:type="paragraph">
    <w:name w:val="annotation subject"/>
    <w:basedOn w:val="style206"/>
    <w:next w:val="style207"/>
    <w:pPr/>
    <w:rPr>
      <w:b/>
      <w:bCs/>
    </w:rPr>
  </w:style>
  <w:style w:styleId="style208" w:type="paragraph">
    <w:name w:val="section_title"/>
    <w:basedOn w:val="style0"/>
    <w:next w:val="style208"/>
    <w:pPr>
      <w:spacing w:after="280" w:before="280" w:line="100" w:lineRule="atLeast"/>
      <w:contextualSpacing w:val="false"/>
    </w:pPr>
    <w:rPr>
      <w:rFonts w:ascii="Times New Roman" w:eastAsia="Times New Roman" w:hAnsi="Times New Roman"/>
      <w:sz w:val="24"/>
      <w:szCs w:val="24"/>
      <w:lang w:eastAsia="ru-RU"/>
    </w:rPr>
  </w:style>
  <w:style w:styleId="style209" w:type="paragraph">
    <w:name w:val="Абзац списка3"/>
    <w:basedOn w:val="style0"/>
    <w:next w:val="style209"/>
    <w:pPr>
      <w:spacing w:after="0" w:before="0" w:line="100" w:lineRule="atLeast"/>
      <w:ind w:hanging="0" w:left="720" w:right="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styleId="style210" w:type="paragraph">
    <w:name w:val="Без интервала+1"/>
    <w:basedOn w:val="style196"/>
    <w:next w:val="style210"/>
    <w:pPr>
      <w:suppressAutoHyphens w:val="true"/>
    </w:pPr>
    <w:rPr>
      <w:rFonts w:ascii="Calibri" w:cs="Calibri" w:hAnsi="Calibri"/>
      <w:color w:val="00000A"/>
      <w:lang w:eastAsia="zh-CN"/>
    </w:rPr>
  </w:style>
  <w:style w:styleId="style211" w:type="paragraph">
    <w:name w:val="П.З."/>
    <w:basedOn w:val="style0"/>
    <w:next w:val="style211"/>
    <w:pPr>
      <w:spacing w:after="0" w:before="0" w:line="360" w:lineRule="auto"/>
      <w:ind w:firstLine="851" w:left="0" w:right="0"/>
      <w:contextualSpacing w:val="false"/>
      <w:jc w:val="both"/>
    </w:pPr>
    <w:rPr>
      <w:rFonts w:ascii="Times New Roman" w:eastAsia="Times New Roman" w:hAnsi="Times New Roman"/>
      <w:sz w:val="24"/>
      <w:szCs w:val="28"/>
      <w:lang w:eastAsia="ru-RU"/>
    </w:rPr>
  </w:style>
  <w:style w:styleId="style212" w:type="paragraph">
    <w:name w:val="Основной текст 22"/>
    <w:basedOn w:val="style0"/>
    <w:next w:val="style212"/>
    <w:pPr>
      <w:overflowPunct w:val="true"/>
      <w:spacing w:after="0" w:before="0" w:line="360" w:lineRule="auto"/>
      <w:ind w:firstLine="709" w:left="0" w:right="0"/>
      <w:contextualSpacing w:val="false"/>
      <w:jc w:val="both"/>
      <w:textAlignment w:val="baseline"/>
    </w:pPr>
    <w:rPr>
      <w:rFonts w:ascii="Times New Roman" w:eastAsia="Times New Roman" w:hAnsi="Times New Roman"/>
      <w:sz w:val="24"/>
      <w:szCs w:val="20"/>
      <w:lang w:eastAsia="ru-RU"/>
    </w:rPr>
  </w:style>
  <w:style w:styleId="style213" w:type="paragraph">
    <w:name w:val="основной тект"/>
    <w:basedOn w:val="style0"/>
    <w:next w:val="style213"/>
    <w:pPr>
      <w:widowControl w:val="false"/>
      <w:spacing w:after="0" w:before="0" w:line="360" w:lineRule="auto"/>
      <w:ind w:firstLine="709" w:left="0" w:right="0"/>
      <w:contextualSpacing w:val="false"/>
      <w:jc w:val="both"/>
    </w:pPr>
    <w:rPr>
      <w:rFonts w:ascii="Times New Roman" w:eastAsia="Times New Roman" w:hAnsi="Times New Roman"/>
      <w:color w:val="000000"/>
      <w:sz w:val="28"/>
      <w:szCs w:val="20"/>
      <w:lang w:eastAsia="ru-RU"/>
    </w:rPr>
  </w:style>
  <w:style w:styleId="style214" w:type="paragraph">
    <w:name w:val="formattext"/>
    <w:basedOn w:val="style0"/>
    <w:next w:val="style214"/>
    <w:pPr>
      <w:spacing w:after="280" w:before="280" w:line="100" w:lineRule="atLeast"/>
      <w:contextualSpacing w:val="false"/>
    </w:pPr>
    <w:rPr>
      <w:rFonts w:ascii="Times New Roman" w:eastAsia="Times New Roman" w:hAnsi="Times New Roman"/>
      <w:sz w:val="24"/>
      <w:szCs w:val="24"/>
      <w:lang w:eastAsia="ru-RU"/>
    </w:rPr>
  </w:style>
  <w:style w:styleId="style215" w:type="paragraph">
    <w:name w:val="Body Text Indent 2"/>
    <w:basedOn w:val="style0"/>
    <w:next w:val="style215"/>
    <w:pPr>
      <w:spacing w:after="120" w:before="0" w:line="480" w:lineRule="auto"/>
      <w:ind w:hanging="0" w:left="283" w:right="0"/>
      <w:contextualSpacing w:val="false"/>
    </w:pPr>
    <w:rPr>
      <w:rFonts w:ascii="Times New Roman" w:eastAsia="Times New Roman" w:hAnsi="Times New Roman"/>
      <w:sz w:val="24"/>
      <w:szCs w:val="24"/>
      <w:lang w:eastAsia="ru-RU"/>
    </w:rPr>
  </w:style>
  <w:style w:styleId="style216" w:type="paragraph">
    <w:name w:val="Style20"/>
    <w:basedOn w:val="style0"/>
    <w:next w:val="style216"/>
    <w:pPr>
      <w:widowControl w:val="false"/>
      <w:spacing w:after="0" w:before="0" w:line="269" w:lineRule="exact"/>
      <w:ind w:firstLine="684" w:left="0" w:right="0"/>
      <w:contextualSpacing w:val="false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styleId="style217" w:type="paragraph">
    <w:name w:val="HTML Preformatted"/>
    <w:basedOn w:val="style0"/>
    <w:next w:val="style217"/>
    <w:pPr>
      <w:tabs>
        <w:tab w:leader="none" w:pos="916" w:val="left"/>
        <w:tab w:leader="none" w:pos="1832" w:val="left"/>
        <w:tab w:leader="none" w:pos="2748" w:val="left"/>
        <w:tab w:leader="none" w:pos="3664" w:val="left"/>
        <w:tab w:leader="none" w:pos="4580" w:val="left"/>
        <w:tab w:leader="none" w:pos="5496" w:val="left"/>
        <w:tab w:leader="none" w:pos="6412" w:val="left"/>
        <w:tab w:leader="none" w:pos="7328" w:val="left"/>
        <w:tab w:leader="none" w:pos="8244" w:val="left"/>
        <w:tab w:leader="none" w:pos="9160" w:val="left"/>
        <w:tab w:leader="none" w:pos="10076" w:val="left"/>
        <w:tab w:leader="none" w:pos="10992" w:val="left"/>
        <w:tab w:leader="none" w:pos="11908" w:val="left"/>
        <w:tab w:leader="none" w:pos="12824" w:val="left"/>
        <w:tab w:leader="none" w:pos="13740" w:val="left"/>
        <w:tab w:leader="none" w:pos="14656" w:val="left"/>
      </w:tabs>
      <w:spacing w:after="0" w:before="0" w:line="100" w:lineRule="atLeast"/>
      <w:contextualSpacing/>
    </w:pPr>
    <w:rPr>
      <w:rFonts w:ascii="Courier New" w:cs="Courier New" w:eastAsia="Times New Roman" w:hAnsi="Courier New"/>
      <w:sz w:val="20"/>
      <w:szCs w:val="20"/>
      <w:lang w:eastAsia="ru-RU"/>
    </w:rPr>
  </w:style>
  <w:style w:styleId="style218" w:type="paragraph">
    <w:name w:val="s_1"/>
    <w:basedOn w:val="style0"/>
    <w:next w:val="style218"/>
    <w:pPr>
      <w:spacing w:after="280" w:before="280" w:line="100" w:lineRule="atLeast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styleId="style219" w:type="paragraph">
    <w:name w:val="Знак Знак1 Знак"/>
    <w:basedOn w:val="style0"/>
    <w:next w:val="style219"/>
    <w:pPr>
      <w:spacing w:after="160" w:before="0" w:line="240" w:lineRule="exact"/>
      <w:contextualSpacing/>
    </w:pPr>
    <w:rPr>
      <w:rFonts w:ascii="Verdana" w:eastAsia="Times New Roman" w:hAnsi="Verdana"/>
      <w:sz w:val="20"/>
      <w:szCs w:val="20"/>
      <w:lang w:val="en-GB"/>
    </w:rPr>
  </w:style>
  <w:style w:styleId="style220" w:type="paragraph">
    <w:name w:val="Table Caption"/>
    <w:basedOn w:val="style0"/>
    <w:next w:val="style220"/>
    <w:pPr>
      <w:keepNext/>
      <w:keepLines/>
      <w:spacing w:after="120" w:before="360" w:line="100" w:lineRule="atLeast"/>
      <w:ind w:hanging="0" w:left="1080" w:right="0"/>
      <w:contextualSpacing/>
    </w:pPr>
    <w:rPr>
      <w:rFonts w:ascii="Arial Bold" w:eastAsia="Times New Roman" w:hAnsi="Arial Bold"/>
      <w:b/>
      <w:sz w:val="20"/>
      <w:szCs w:val="20"/>
      <w:lang w:eastAsia="ru-RU" w:val="en-US"/>
    </w:rPr>
  </w:style>
  <w:style w:styleId="style221" w:type="paragraph">
    <w:name w:val="List Number 2"/>
    <w:basedOn w:val="style0"/>
    <w:next w:val="style221"/>
    <w:pPr>
      <w:tabs>
        <w:tab w:leader="none" w:pos="643" w:val="left"/>
      </w:tabs>
      <w:spacing w:after="0" w:before="0"/>
      <w:ind w:hanging="360" w:left="643" w:right="0"/>
      <w:contextualSpacing/>
    </w:pPr>
    <w:rPr>
      <w:rFonts w:ascii="Times New Roman" w:hAnsi="Times New Roman"/>
      <w:sz w:val="24"/>
    </w:rPr>
  </w:style>
  <w:style w:styleId="style222" w:type="paragraph">
    <w:name w:val="Основной текст11"/>
    <w:basedOn w:val="style0"/>
    <w:next w:val="style222"/>
    <w:pPr>
      <w:shd w:fill="FFFFFF" w:val="clear"/>
      <w:spacing w:after="540" w:before="0" w:line="214" w:lineRule="exact"/>
      <w:contextualSpacing/>
      <w:jc w:val="right"/>
    </w:pPr>
    <w:rPr>
      <w:rFonts w:ascii="Sylfaen" w:eastAsia="Sylfaen" w:hAnsi="Sylfaen"/>
      <w:sz w:val="19"/>
      <w:szCs w:val="19"/>
    </w:rPr>
  </w:style>
  <w:style w:styleId="style223" w:type="paragraph">
    <w:name w:val="Char Знак1"/>
    <w:basedOn w:val="style0"/>
    <w:next w:val="style223"/>
    <w:pPr>
      <w:spacing w:after="280" w:before="280" w:line="100" w:lineRule="atLeast"/>
      <w:contextualSpacing/>
    </w:pPr>
    <w:rPr>
      <w:rFonts w:ascii="Tahoma" w:eastAsia="Times New Roman" w:hAnsi="Tahoma"/>
      <w:sz w:val="20"/>
      <w:szCs w:val="20"/>
      <w:lang w:val="en-US"/>
    </w:rPr>
  </w:style>
  <w:style w:styleId="style224" w:type="paragraph">
    <w:name w:val="Заголовок статьи"/>
    <w:basedOn w:val="style0"/>
    <w:next w:val="style224"/>
    <w:pPr>
      <w:widowControl w:val="false"/>
      <w:spacing w:after="0" w:before="0" w:line="100" w:lineRule="atLeast"/>
      <w:ind w:hanging="892" w:left="1612" w:right="0"/>
      <w:contextualSpacing/>
      <w:jc w:val="both"/>
    </w:pPr>
    <w:rPr>
      <w:rFonts w:ascii="Times New Roman" w:cs="Arial" w:eastAsia="Times New Roman" w:hAnsi="Times New Roman"/>
      <w:sz w:val="24"/>
      <w:szCs w:val="24"/>
      <w:lang w:eastAsia="ru-RU"/>
    </w:rPr>
  </w:style>
  <w:style w:styleId="style225" w:type="paragraph">
    <w:name w:val="Plain Text"/>
    <w:basedOn w:val="style0"/>
    <w:next w:val="style225"/>
    <w:pPr>
      <w:spacing w:after="0" w:before="0"/>
      <w:ind w:firstLine="709" w:left="1080" w:right="0"/>
      <w:contextualSpacing/>
      <w:jc w:val="both"/>
    </w:pPr>
    <w:rPr>
      <w:rFonts w:ascii="Courier New" w:eastAsia="Times New Roman" w:hAnsi="Courier New"/>
      <w:spacing w:val="-5"/>
      <w:sz w:val="20"/>
      <w:szCs w:val="20"/>
    </w:rPr>
  </w:style>
  <w:style w:styleId="style226" w:type="paragraph">
    <w:name w:val="Абзац списка1"/>
    <w:basedOn w:val="style0"/>
    <w:next w:val="style226"/>
    <w:pPr>
      <w:spacing w:after="0" w:before="0"/>
      <w:ind w:hanging="0" w:left="720" w:right="0"/>
      <w:contextualSpacing/>
    </w:pPr>
    <w:rPr>
      <w:rFonts w:ascii="Times New Roman" w:eastAsia="Times New Roman" w:hAnsi="Times New Roman"/>
      <w:sz w:val="24"/>
    </w:rPr>
  </w:style>
  <w:style w:styleId="style227" w:type="paragraph">
    <w:name w:val="Подпись к таблице"/>
    <w:basedOn w:val="style0"/>
    <w:next w:val="style227"/>
    <w:pPr>
      <w:widowControl w:val="false"/>
      <w:shd w:fill="FFFFFF" w:val="clear"/>
      <w:spacing w:after="0" w:before="0" w:line="240" w:lineRule="atLeast"/>
      <w:contextualSpacing/>
    </w:pPr>
    <w:rPr>
      <w:rFonts w:ascii="Times New Roman" w:cs="Calibri" w:hAnsi="Times New Roman"/>
      <w:b/>
      <w:bCs/>
      <w:sz w:val="23"/>
      <w:szCs w:val="23"/>
    </w:rPr>
  </w:style>
  <w:style w:styleId="style228" w:type="paragraph">
    <w:name w:val="Основной текст (2)1"/>
    <w:basedOn w:val="style0"/>
    <w:next w:val="style228"/>
    <w:pPr>
      <w:widowControl w:val="false"/>
      <w:shd w:fill="FFFFFF" w:val="clear"/>
      <w:spacing w:after="180" w:before="0" w:line="254" w:lineRule="exact"/>
      <w:contextualSpacing/>
      <w:jc w:val="center"/>
    </w:pPr>
    <w:rPr>
      <w:rFonts w:ascii="Times New Roman" w:cs="Calibri" w:hAnsi="Times New Roman"/>
      <w:b/>
      <w:bCs/>
      <w:sz w:val="23"/>
      <w:szCs w:val="23"/>
    </w:rPr>
  </w:style>
  <w:style w:styleId="style229" w:type="paragraph">
    <w:name w:val="Подпись к картинке1"/>
    <w:basedOn w:val="style0"/>
    <w:next w:val="style229"/>
    <w:pPr>
      <w:widowControl w:val="false"/>
      <w:shd w:fill="FFFFFF" w:val="clear"/>
      <w:spacing w:after="0" w:before="0" w:line="240" w:lineRule="atLeast"/>
      <w:contextualSpacing/>
    </w:pPr>
    <w:rPr>
      <w:rFonts w:ascii="Times New Roman" w:cs="Calibri" w:hAnsi="Times New Roman"/>
      <w:sz w:val="23"/>
      <w:szCs w:val="23"/>
    </w:rPr>
  </w:style>
  <w:style w:styleId="style230" w:type="paragraph">
    <w:name w:val="Подпись к таблице1"/>
    <w:basedOn w:val="style0"/>
    <w:next w:val="style230"/>
    <w:pPr>
      <w:widowControl w:val="false"/>
      <w:shd w:fill="FFFFFF" w:val="clear"/>
      <w:spacing w:after="0" w:before="0" w:line="240" w:lineRule="atLeast"/>
      <w:contextualSpacing/>
    </w:pPr>
    <w:rPr>
      <w:rFonts w:ascii="Times New Roman" w:hAnsi="Times New Roman"/>
      <w:sz w:val="23"/>
      <w:szCs w:val="23"/>
      <w:lang w:eastAsia="ru-RU"/>
    </w:rPr>
  </w:style>
  <w:style w:styleId="style231" w:type="paragraph">
    <w:name w:val="Знак1 Знак Знак Знак"/>
    <w:basedOn w:val="style0"/>
    <w:next w:val="style231"/>
    <w:pPr>
      <w:spacing w:after="0" w:before="0" w:line="100" w:lineRule="atLeast"/>
      <w:contextualSpacing w:val="false"/>
    </w:pPr>
    <w:rPr>
      <w:rFonts w:ascii="Verdana" w:cs="Verdana" w:eastAsia="Times New Roman" w:hAnsi="Verdana"/>
      <w:sz w:val="20"/>
      <w:szCs w:val="20"/>
      <w:lang w:val="en-US"/>
    </w:rPr>
  </w:style>
  <w:style w:styleId="style232" w:type="paragraph">
    <w:name w:val="Обычный11"/>
    <w:next w:val="style232"/>
    <w:pPr>
      <w:widowControl w:val="false"/>
      <w:suppressAutoHyphens w:val="true"/>
      <w:spacing w:after="0" w:before="0" w:line="259" w:lineRule="auto"/>
      <w:ind w:firstLine="220" w:left="0" w:right="0"/>
      <w:contextualSpacing w:val="false"/>
      <w:jc w:val="both"/>
    </w:pPr>
    <w:rPr>
      <w:rFonts w:ascii="Arial" w:cs="Times New Roman" w:eastAsia="Times New Roman" w:hAnsi="Arial"/>
      <w:b/>
      <w:color w:val="auto"/>
      <w:sz w:val="18"/>
      <w:szCs w:val="20"/>
      <w:lang w:bidi="ar-SA" w:eastAsia="ru-RU" w:val="ru-RU"/>
    </w:rPr>
  </w:style>
  <w:style w:styleId="style233" w:type="paragraph">
    <w:name w:val="xl65"/>
    <w:basedOn w:val="style0"/>
    <w:next w:val="style233"/>
    <w:pPr>
      <w:pBdr>
        <w:top w:color="00000A" w:space="0" w:sz="4" w:val="single"/>
        <w:left w:color="00000A" w:space="0" w:sz="4" w:val="single"/>
        <w:bottom w:color="00000A" w:space="0" w:sz="4" w:val="single"/>
        <w:insideH w:color="00000A" w:space="0" w:sz="4" w:val="single"/>
        <w:right w:color="00000A" w:space="0" w:sz="4" w:val="single"/>
        <w:insideV w:color="00000A" w:space="0" w:sz="4" w:val="single"/>
      </w:pBdr>
      <w:spacing w:after="280" w:before="280" w:line="100" w:lineRule="atLeast"/>
      <w:contextualSpacing w:val="false"/>
    </w:pPr>
    <w:rPr>
      <w:rFonts w:ascii="Times New Roman" w:eastAsia="Times New Roman" w:hAnsi="Times New Roman"/>
      <w:sz w:val="24"/>
      <w:szCs w:val="24"/>
      <w:lang w:eastAsia="ru-RU"/>
    </w:rPr>
  </w:style>
  <w:style w:styleId="style234" w:type="paragraph">
    <w:name w:val="xl66"/>
    <w:basedOn w:val="style0"/>
    <w:next w:val="style234"/>
    <w:pPr>
      <w:pBdr>
        <w:top w:color="00000A" w:space="0" w:sz="4" w:val="single"/>
        <w:left w:color="00000A" w:space="0" w:sz="4" w:val="single"/>
        <w:bottom w:color="00000A" w:space="0" w:sz="4" w:val="single"/>
        <w:insideH w:color="00000A" w:space="0" w:sz="4" w:val="single"/>
        <w:right w:color="00000A" w:space="0" w:sz="4" w:val="single"/>
        <w:insideV w:color="00000A" w:space="0" w:sz="4" w:val="single"/>
      </w:pBdr>
      <w:spacing w:after="280" w:before="280" w:line="100" w:lineRule="atLeast"/>
      <w:contextualSpacing w:val="false"/>
    </w:pPr>
    <w:rPr>
      <w:rFonts w:ascii="Times New Roman" w:eastAsia="Times New Roman" w:hAnsi="Times New Roman"/>
      <w:sz w:val="24"/>
      <w:szCs w:val="24"/>
      <w:lang w:eastAsia="ru-RU"/>
    </w:rPr>
  </w:style>
  <w:style w:styleId="style235" w:type="paragraph">
    <w:name w:val="021216Заголовок"/>
    <w:basedOn w:val="style0"/>
    <w:next w:val="style235"/>
    <w:pPr>
      <w:spacing w:after="0" w:before="0" w:line="300" w:lineRule="auto"/>
      <w:ind w:firstLine="709" w:left="0" w:right="0"/>
      <w:contextualSpacing w:val="false"/>
      <w:jc w:val="both"/>
    </w:pPr>
    <w:rPr>
      <w:rFonts w:ascii="Times New Roman" w:hAnsi="Times New Roman"/>
      <w:sz w:val="24"/>
      <w:szCs w:val="24"/>
    </w:rPr>
  </w:style>
  <w:style w:styleId="style236" w:type="paragraph">
    <w:name w:val="Таблица 1"/>
    <w:basedOn w:val="style0"/>
    <w:next w:val="style236"/>
    <w:pPr>
      <w:numPr>
        <w:ilvl w:val="0"/>
        <w:numId w:val="13"/>
      </w:numPr>
      <w:spacing w:after="0" w:before="0" w:line="360" w:lineRule="auto"/>
      <w:contextualSpacing w:val="false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styleId="style237" w:type="paragraph">
    <w:name w:val="Style107"/>
    <w:basedOn w:val="style0"/>
    <w:next w:val="style237"/>
    <w:pPr>
      <w:widowControl w:val="false"/>
      <w:spacing w:after="0" w:before="0" w:line="276" w:lineRule="exact"/>
      <w:ind w:firstLine="710" w:left="0" w:right="0"/>
      <w:contextualSpacing w:val="false"/>
      <w:jc w:val="both"/>
    </w:pPr>
    <w:rPr>
      <w:rFonts w:ascii="Arial" w:cs="Arial" w:eastAsia="Times New Roman" w:hAnsi="Arial"/>
      <w:sz w:val="24"/>
      <w:szCs w:val="24"/>
      <w:lang w:eastAsia="ru-RU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oter" Target="footer1.xml"/><Relationship Id="rId3" Type="http://schemas.openxmlformats.org/officeDocument/2006/relationships/image" Target="media/image4.jpeg"/><Relationship Id="rId4" Type="http://schemas.openxmlformats.org/officeDocument/2006/relationships/footer" Target="footer2.xml"/><Relationship Id="rId5" Type="http://schemas.openxmlformats.org/officeDocument/2006/relationships/image" Target="media/image5.jpeg"/><Relationship Id="rId6" Type="http://schemas.openxmlformats.org/officeDocument/2006/relationships/footer" Target="footer3.xml"/><Relationship Id="rId7" Type="http://schemas.openxmlformats.org/officeDocument/2006/relationships/image" Target="media/image6.jpeg"/><Relationship Id="rId8" Type="http://schemas.openxmlformats.org/officeDocument/2006/relationships/footer" Target="footer4.xml"/><Relationship Id="rId9" Type="http://schemas.openxmlformats.org/officeDocument/2006/relationships/numbering" Target="numbering.xml"/><Relationship Id="rId10" Type="http://schemas.openxmlformats.org/officeDocument/2006/relationships/fontTable" Target="fontTable.xml"/><Relationship Id="rId11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Application>LibreOffice/4.1.4.2$Windows_x86 LibreOffice_project/0a0440ccc0227ad9829de5f46be37cfb6edcf72</Application>
</Properties>
</file>

<file path=docProps/core.xml><?xml version="1.0" encoding="utf-8"?>
<cp:coreProperties xmlns:cp="http://schemas.openxmlformats.org/package/2006/metadata/core-properties" xmlns:dc="http://purl.org/dc/elements/1.1/" xmlns:dcmitype="http://purl.org/dc/dcmitype/" xmlns:dcterms="http://purl.org/dc/terms/" xmlns:xsi="http://www.w3.org/2001/XMLSchema-instance">
  <dcterms:created xsi:type="dcterms:W3CDTF">2021-09-13T10:52:00Z</dcterms:created>
  <dc:creator>Растягаева Альбина Дмитриевна</dc:creator>
  <cp:lastModifiedBy>Zemlya</cp:lastModifiedBy>
  <cp:lastPrinted>2021-10-21T15:58:41Z</cp:lastPrinted>
  <dcterms:modified xsi:type="dcterms:W3CDTF">2021-10-21T08:54:00Z</dcterms:modified>
  <cp:revision>6</cp:revision>
</cp:coreProperties>
</file>