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eastAsia="Calibri" w:cs="Times New Roman"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  <w:sz w:val="20"/>
          <w:szCs w:val="20"/>
        </w:rPr>
        <w:t xml:space="preserve">Приложение 2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к исх.№_________________ от </w:t>
      </w:r>
      <w:r>
        <w:rPr>
          <w:rFonts w:eastAsia="Calibri" w:cs="Times New Roman"/>
          <w:color w:val="000000"/>
          <w:sz w:val="20"/>
          <w:szCs w:val="20"/>
        </w:rPr>
        <w:t xml:space="preserve">________________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Основные новеллы в Методических рекомендациях по вопросам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/>
        <w:t>В течение последних лет является устоявшейся практика подготовки Министерством труда и социальной защиты Российской Федерации ежегодно</w:t>
      </w:r>
    </w:p>
    <w:p>
      <w:pPr>
        <w:pStyle w:val="Normal"/>
        <w:spacing w:before="0" w:after="0"/>
        <w:jc w:val="both"/>
        <w:rPr/>
      </w:pPr>
      <w:r>
        <w:rPr/>
        <w:t>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>
      <w:pPr>
        <w:pStyle w:val="Normal"/>
        <w:spacing w:before="0" w:after="0"/>
        <w:ind w:firstLine="708"/>
        <w:jc w:val="both"/>
        <w:rPr/>
      </w:pPr>
      <w:r>
        <w:rPr/>
        <w:t>Методические рекомендации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>
      <w:pPr>
        <w:pStyle w:val="Normal"/>
        <w:spacing w:before="0" w:after="0"/>
        <w:ind w:firstLine="708"/>
        <w:jc w:val="both"/>
        <w:rPr/>
      </w:pPr>
      <w:r>
        <w:rPr/>
        <w:t>В ходе использования в работе указанных Методических рекомендаций</w:t>
      </w:r>
    </w:p>
    <w:p>
      <w:pPr>
        <w:pStyle w:val="Normal"/>
        <w:spacing w:before="0" w:after="0"/>
        <w:jc w:val="both"/>
        <w:rPr/>
      </w:pPr>
      <w:r>
        <w:rPr/>
        <w:t>предлагаем обратить внимание на следующее.</w:t>
      </w:r>
    </w:p>
    <w:p>
      <w:pPr>
        <w:pStyle w:val="Normal"/>
        <w:spacing w:before="0" w:after="0"/>
        <w:jc w:val="both"/>
        <w:rPr/>
      </w:pPr>
      <w:r>
        <w:rPr/>
        <w:tab/>
        <w:t>1. Методические рекомендации учитывают особенности представления</w:t>
      </w:r>
    </w:p>
    <w:p>
      <w:pPr>
        <w:pStyle w:val="Normal"/>
        <w:spacing w:before="0" w:after="0"/>
        <w:jc w:val="both"/>
        <w:rPr/>
      </w:pPr>
      <w:r>
        <w:rPr/>
        <w:t>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>
      <w:pPr>
        <w:pStyle w:val="Normal"/>
        <w:spacing w:before="0" w:after="0"/>
        <w:ind w:firstLine="708"/>
        <w:jc w:val="both"/>
        <w:rPr/>
      </w:pPr>
      <w:r>
        <w:rPr/>
        <w:t>2. В Методических рекомендациях предлагается определенная иерархия</w:t>
      </w:r>
    </w:p>
    <w:p>
      <w:pPr>
        <w:pStyle w:val="Normal"/>
        <w:spacing w:before="0" w:after="0"/>
        <w:jc w:val="both"/>
        <w:rPr/>
      </w:pPr>
      <w:r>
        <w:rPr/>
        <w:t>организации работы по оказанию консультативной и методической помощи</w:t>
      </w:r>
    </w:p>
    <w:p>
      <w:pPr>
        <w:pStyle w:val="Normal"/>
        <w:spacing w:before="0" w:after="0"/>
        <w:jc w:val="both"/>
        <w:rPr/>
      </w:pPr>
      <w:r>
        <w:rPr/>
        <w:t>в представлении сведений.</w:t>
      </w:r>
    </w:p>
    <w:p>
      <w:pPr>
        <w:pStyle w:val="Normal"/>
        <w:spacing w:before="0" w:after="0"/>
        <w:ind w:firstLine="708"/>
        <w:jc w:val="both"/>
        <w:rPr/>
      </w:pPr>
      <w:r>
        <w:rPr/>
        <w:t>3. В пункте 20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</w:t>
      </w:r>
    </w:p>
    <w:p>
      <w:pPr>
        <w:pStyle w:val="Normal"/>
        <w:spacing w:before="0" w:after="0"/>
        <w:jc w:val="both"/>
        <w:rPr/>
      </w:pPr>
      <w:r>
        <w:rPr/>
        <w:t>правоотношения, имеющиеся на 31 декабря отчетного года.</w:t>
      </w:r>
    </w:p>
    <w:p>
      <w:pPr>
        <w:pStyle w:val="Normal"/>
        <w:spacing w:before="0" w:after="0"/>
        <w:ind w:firstLine="708"/>
        <w:jc w:val="both"/>
        <w:rPr/>
      </w:pPr>
      <w:r>
        <w:rPr/>
        <w:t>4. Отмечено, что уточненные сведения за предыдущие декларационные кампании не представляются, но в рамках текущей декларационной кампании</w:t>
      </w:r>
    </w:p>
    <w:p>
      <w:pPr>
        <w:pStyle w:val="Normal"/>
        <w:spacing w:before="0" w:after="0"/>
        <w:jc w:val="both"/>
        <w:rPr/>
      </w:pPr>
      <w:r>
        <w:rPr/>
        <w:t>к сведениям могут быть приложены применимые пояснения (пункт 37 Методических рекомендаций).</w:t>
      </w:r>
    </w:p>
    <w:p>
      <w:pPr>
        <w:pStyle w:val="Normal"/>
        <w:spacing w:before="0" w:after="0"/>
        <w:ind w:firstLine="709"/>
        <w:jc w:val="both"/>
        <w:rPr/>
      </w:pPr>
      <w:r>
        <w:rPr/>
        <w:t>5. 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>
      <w:pPr>
        <w:pStyle w:val="Normal"/>
        <w:spacing w:before="0" w:after="0"/>
        <w:ind w:firstLine="709"/>
        <w:jc w:val="both"/>
        <w:rPr/>
      </w:pPr>
      <w:r>
        <w:rPr/>
        <w:t>6. Указана необходимость оценки использования актуальной версии специального программного обеспечения «Справки БК» на дату представления сведений.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7. В пункте 53 Методических рекомендаций обращено внимание </w:t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8. Актуализирован перечень выплат, которые могут быть признаны доходом для целей законодательства Российской Федерации </w:t>
        <w:br/>
        <w:t>о противодействии коррупции, а также перечень денежных средств, которые не являются таким доходом.</w:t>
      </w:r>
    </w:p>
    <w:p>
      <w:pPr>
        <w:pStyle w:val="Normal"/>
        <w:spacing w:before="0" w:after="0"/>
        <w:ind w:firstLine="709"/>
        <w:jc w:val="both"/>
        <w:rPr/>
      </w:pPr>
      <w:r>
        <w:rPr/>
        <w:t>9. Учитывая возникающие на практике вопросы повторно отмечаем, что доход от операций с ценными бумагами выражается в величине суммы финансового результата.</w:t>
      </w:r>
    </w:p>
    <w:p>
      <w:pPr>
        <w:pStyle w:val="Normal"/>
        <w:spacing w:before="0" w:after="0"/>
        <w:ind w:firstLine="709"/>
        <w:jc w:val="both"/>
        <w:rPr/>
      </w:pPr>
      <w:r>
        <w:rPr/>
        <w:t>10. Уточнены положения Методических рекомендаций, касающиеся цифровых финансовых инструментов.</w:t>
      </w:r>
    </w:p>
    <w:p>
      <w:pPr>
        <w:pStyle w:val="Normal"/>
        <w:spacing w:before="0" w:after="0"/>
        <w:ind w:firstLine="709"/>
        <w:jc w:val="both"/>
        <w:rPr/>
      </w:pPr>
      <w:r>
        <w:rPr/>
        <w:t>11. В пункте 181 Методических рекомендаций акцентировано внимание на особенностях владения инвестиционными паями паевых инвестиционных фондов.</w:t>
      </w:r>
    </w:p>
    <w:p>
      <w:pPr>
        <w:pStyle w:val="Normal"/>
        <w:spacing w:before="0" w:after="0"/>
        <w:ind w:firstLine="709"/>
        <w:jc w:val="both"/>
        <w:rPr/>
      </w:pPr>
      <w:r>
        <w:rPr/>
        <w:t>12.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7945574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b668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b668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db668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db668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2</Pages>
  <Words>402</Words>
  <Characters>3046</Characters>
  <CharactersWithSpaces>3427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2023-01-19T05:32:00Z</dcterms:created>
  <dc:creator>Чеканов Роман Юрьевич</dc:creator>
  <dc:description/>
  <dc:language>ru-RU</dc:language>
  <cp:lastModifiedBy>Приемная</cp:lastModifiedBy>
  <dcterms:modified xsi:type="dcterms:W3CDTF">2023-01-19T05:32:00Z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