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11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</w:r>
    </w:p>
    <w:p>
      <w:pPr>
        <w:pStyle w:val="style11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>
      <w:pPr>
        <w:pStyle w:val="style11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городского поселения Коммунистический</w:t>
      </w:r>
    </w:p>
    <w:p>
      <w:pPr>
        <w:pStyle w:val="style117"/>
        <w:jc w:val="center"/>
        <w:rPr>
          <w:sz w:val="20"/>
          <w:szCs w:val="20"/>
        </w:rPr>
      </w:pPr>
      <w:r>
        <w:rPr>
          <w:sz w:val="20"/>
          <w:szCs w:val="20"/>
        </w:rPr>
        <w:t>Советского района</w:t>
      </w:r>
    </w:p>
    <w:p>
      <w:pPr>
        <w:pStyle w:val="style117"/>
        <w:jc w:val="center"/>
        <w:rPr>
          <w:sz w:val="20"/>
          <w:szCs w:val="20"/>
        </w:rPr>
      </w:pPr>
      <w:r>
        <w:rPr>
          <w:sz w:val="20"/>
          <w:szCs w:val="20"/>
        </w:rPr>
        <w:t>Ханты-Мансийского автономного округа-Югры</w:t>
      </w:r>
    </w:p>
    <w:p>
      <w:pPr>
        <w:pStyle w:val="style116"/>
        <w:spacing w:after="0" w:before="100"/>
        <w:contextualSpacing w:val="false"/>
        <w:jc w:val="center"/>
        <w:rPr/>
      </w:pPr>
      <w:r>
        <w:rPr/>
      </w:r>
    </w:p>
    <w:p>
      <w:pPr>
        <w:pStyle w:val="style117"/>
        <w:rPr>
          <w:sz w:val="20"/>
          <w:szCs w:val="20"/>
        </w:rPr>
      </w:pPr>
      <w:r>
        <w:rPr>
          <w:sz w:val="20"/>
          <w:szCs w:val="20"/>
        </w:rPr>
        <w:t xml:space="preserve">628256, Ханты-Мансийский автономный округ-Югра </w:t>
        <w:tab/>
        <w:tab/>
        <w:tab/>
        <w:t xml:space="preserve">                  телефон: </w:t>
        <w:tab/>
        <w:t xml:space="preserve"> 4-60-45</w:t>
      </w:r>
    </w:p>
    <w:p>
      <w:pPr>
        <w:pStyle w:val="style117"/>
        <w:rPr>
          <w:sz w:val="20"/>
          <w:szCs w:val="20"/>
        </w:rPr>
      </w:pPr>
      <w:r>
        <w:rPr>
          <w:sz w:val="20"/>
          <w:szCs w:val="20"/>
        </w:rPr>
        <w:t xml:space="preserve">Тюменской области </w:t>
        <w:tab/>
        <w:tab/>
        <w:tab/>
        <w:tab/>
        <w:tab/>
        <w:tab/>
        <w:tab/>
        <w:tab/>
        <w:tab/>
        <w:tab/>
        <w:t xml:space="preserve"> 4-62-94</w:t>
      </w:r>
    </w:p>
    <w:p>
      <w:pPr>
        <w:pStyle w:val="style117"/>
        <w:rPr>
          <w:sz w:val="20"/>
          <w:szCs w:val="20"/>
        </w:rPr>
      </w:pPr>
      <w:r>
        <w:rPr>
          <w:sz w:val="20"/>
          <w:szCs w:val="20"/>
        </w:rPr>
        <w:t>п. Коммунистический телефон</w:t>
        <w:tab/>
        <w:tab/>
        <w:tab/>
        <w:tab/>
        <w:tab/>
        <w:tab/>
        <w:t xml:space="preserve">                    (факс):            4-63-26 </w:t>
      </w:r>
    </w:p>
    <w:p>
      <w:pPr>
        <w:pStyle w:val="style117"/>
        <w:rPr>
          <w:sz w:val="20"/>
          <w:szCs w:val="20"/>
          <w:lang w:val="en-US"/>
        </w:rPr>
      </w:pPr>
      <w:r>
        <w:rPr>
          <w:sz w:val="20"/>
          <w:szCs w:val="20"/>
        </w:rPr>
        <w:t xml:space="preserve">ул .Северная, д.13 </w:t>
        <w:tab/>
        <w:tab/>
        <w:tab/>
        <w:tab/>
        <w:tab/>
        <w:tab/>
        <w:tab/>
        <w:t xml:space="preserve">                        сайт: </w:t>
      </w:r>
      <w:r>
        <w:rPr>
          <w:sz w:val="20"/>
          <w:szCs w:val="20"/>
          <w:lang w:val="en-US"/>
        </w:rPr>
        <w:t>www</w:t>
      </w:r>
      <w:r>
        <w:rPr>
          <w:sz w:val="20"/>
          <w:szCs w:val="20"/>
        </w:rPr>
        <w:t>.</w:t>
      </w:r>
      <w:r>
        <w:rPr>
          <w:sz w:val="20"/>
          <w:szCs w:val="20"/>
          <w:lang w:val="en-US"/>
        </w:rPr>
        <w:t>samza</w:t>
      </w:r>
      <w:r>
        <w:rPr>
          <w:sz w:val="20"/>
          <w:szCs w:val="20"/>
        </w:rPr>
        <w:t>.</w:t>
      </w:r>
      <w:r>
        <w:rPr>
          <w:sz w:val="20"/>
          <w:szCs w:val="20"/>
          <w:lang w:val="en-US"/>
        </w:rPr>
        <w:t>ru</w:t>
      </w:r>
    </w:p>
    <w:p>
      <w:pPr>
        <w:pStyle w:val="style117"/>
        <w:rPr>
          <w:rStyle w:val="style88"/>
          <w:sz w:val="20"/>
          <w:szCs w:val="20"/>
          <w:lang w:val="en-US"/>
        </w:rPr>
      </w:pPr>
      <w:r>
        <w:rPr>
          <w:rFonts w:cs="Times New Roman" w:eastAsia="Times New Roman"/>
          <w:sz w:val="20"/>
          <w:szCs w:val="20"/>
        </w:rPr>
        <w:t xml:space="preserve">                                                                                                                               </w:t>
      </w:r>
      <w:r>
        <w:rPr>
          <w:sz w:val="20"/>
          <w:szCs w:val="20"/>
        </w:rPr>
        <w:t xml:space="preserve">электронная почта: </w:t>
      </w:r>
      <w:hyperlink r:id="rId2">
        <w:r>
          <w:rPr>
            <w:rStyle w:val="style88"/>
            <w:sz w:val="20"/>
            <w:szCs w:val="20"/>
            <w:lang w:val="en-US"/>
          </w:rPr>
          <w:t>adm</w:t>
        </w:r>
        <w:r>
          <w:rPr>
            <w:rStyle w:val="style88"/>
            <w:sz w:val="20"/>
            <w:szCs w:val="20"/>
          </w:rPr>
          <w:t>@</w:t>
        </w:r>
        <w:r>
          <w:rPr>
            <w:rStyle w:val="style88"/>
            <w:sz w:val="20"/>
            <w:szCs w:val="20"/>
            <w:lang w:val="en-US"/>
          </w:rPr>
          <w:t>samza</w:t>
        </w:r>
        <w:r>
          <w:rPr>
            <w:rStyle w:val="style88"/>
            <w:sz w:val="20"/>
            <w:szCs w:val="20"/>
          </w:rPr>
          <w:t>.</w:t>
        </w:r>
        <w:r>
          <w:rPr>
            <w:rStyle w:val="style88"/>
            <w:sz w:val="20"/>
            <w:szCs w:val="20"/>
            <w:lang w:val="en-US"/>
          </w:rPr>
          <w:t>ru</w:t>
        </w:r>
      </w:hyperlink>
    </w:p>
    <w:p>
      <w:pPr>
        <w:pStyle w:val="style117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</w:t>
      </w:r>
    </w:p>
    <w:p>
      <w:pPr>
        <w:pStyle w:val="style117"/>
        <w:rPr>
          <w:b/>
          <w:szCs w:val="24"/>
        </w:rPr>
      </w:pPr>
      <w:r>
        <w:rPr>
          <w:b/>
          <w:szCs w:val="24"/>
        </w:rPr>
        <w:t>«</w:t>
      </w:r>
      <w:r>
        <w:rPr>
          <w:b/>
          <w:szCs w:val="24"/>
        </w:rPr>
        <w:t>23</w:t>
      </w:r>
      <w:r>
        <w:rPr>
          <w:b/>
          <w:szCs w:val="24"/>
        </w:rPr>
        <w:t>» марта 2021 г.</w:t>
        <w:tab/>
        <w:tab/>
        <w:tab/>
        <w:tab/>
        <w:tab/>
        <w:tab/>
        <w:tab/>
        <w:tab/>
        <w:t xml:space="preserve">   № </w:t>
      </w:r>
      <w:r>
        <w:rPr>
          <w:b/>
          <w:szCs w:val="24"/>
        </w:rPr>
        <w:t>41</w:t>
      </w:r>
    </w:p>
    <w:p>
      <w:pPr>
        <w:pStyle w:val="style117"/>
        <w:rPr>
          <w:szCs w:val="24"/>
        </w:rPr>
      </w:pPr>
      <w:r>
        <w:rPr>
          <w:szCs w:val="24"/>
        </w:rPr>
        <w:t>г.п. Коммунистический</w:t>
      </w:r>
    </w:p>
    <w:p>
      <w:pPr>
        <w:pStyle w:val="style116"/>
        <w:shd w:fill="FFFFFF" w:val="clear"/>
        <w:spacing w:after="0" w:before="471" w:line="244" w:lineRule="atLeast"/>
        <w:ind w:hanging="0" w:left="0" w:right="23"/>
        <w:contextualSpacing w:val="false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 </w:t>
      </w:r>
      <w:r>
        <w:rPr>
          <w:b/>
          <w:bCs/>
          <w:color w:val="000000"/>
        </w:rPr>
        <w:t xml:space="preserve">ПОСТАНОВЛЕНИЕ </w:t>
      </w:r>
    </w:p>
    <w:p>
      <w:pPr>
        <w:pStyle w:val="style0"/>
        <w:rPr>
          <w:rFonts w:cs="Times New Roman" w:eastAsia="Times New Roman"/>
        </w:rPr>
      </w:pPr>
      <w:r>
        <w:rPr>
          <w:rFonts w:cs="Times New Roman" w:eastAsia="Times New Roman"/>
        </w:rPr>
      </w:r>
    </w:p>
    <w:p>
      <w:pPr>
        <w:pStyle w:val="style0"/>
        <w:rPr>
          <w:rFonts w:cs="Times New Roman" w:eastAsia="Times New Roman"/>
        </w:rPr>
      </w:pPr>
      <w:r>
        <w:rPr>
          <w:rFonts w:cs="Times New Roman" w:eastAsia="Times New Roman"/>
        </w:rPr>
      </w:r>
    </w:p>
    <w:p>
      <w:pPr>
        <w:pStyle w:val="style0"/>
        <w:spacing w:line="254" w:lineRule="exact"/>
        <w:ind w:hanging="0" w:left="0" w:right="4619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  <w:t xml:space="preserve">О внесении изменений в постановление Администрации г. п. Коммунистический от 28.11.2018г № 288 «Об утверждении муниципальной программы «Энергосбережение и повышение энергетической эффективности </w:t>
      </w:r>
    </w:p>
    <w:p>
      <w:pPr>
        <w:pStyle w:val="style0"/>
        <w:rPr>
          <w:rFonts w:cs="Times New Roman" w:eastAsia="Times New Roman"/>
        </w:rPr>
      </w:pPr>
      <w:r>
        <w:rPr>
          <w:rFonts w:cs="Times New Roman" w:eastAsia="Times New Roman"/>
        </w:rPr>
        <w:t>городского поселения  Коммунистический»</w:t>
      </w:r>
    </w:p>
    <w:p>
      <w:pPr>
        <w:pStyle w:val="style0"/>
        <w:rPr>
          <w:rFonts w:cs="Times New Roman" w:eastAsia="Times New Roman"/>
        </w:rPr>
      </w:pPr>
      <w:r>
        <w:rPr>
          <w:rFonts w:cs="Times New Roman" w:eastAsia="Times New Roman"/>
        </w:rPr>
        <w:t xml:space="preserve"> </w:t>
      </w:r>
    </w:p>
    <w:p>
      <w:pPr>
        <w:pStyle w:val="style115"/>
        <w:widowControl/>
        <w:spacing w:line="100" w:lineRule="atLeast"/>
        <w:ind w:hanging="0" w:left="0" w:right="0"/>
        <w:jc w:val="left"/>
        <w:rPr>
          <w:rFonts w:cs="Calibri"/>
          <w:color w:val="000000"/>
          <w:lang w:eastAsia="en-US"/>
        </w:rPr>
      </w:pPr>
      <w:r>
        <w:rPr>
          <w:rFonts w:cs="Calibri"/>
          <w:color w:val="000000"/>
          <w:lang w:eastAsia="en-US"/>
        </w:rPr>
      </w:r>
    </w:p>
    <w:p>
      <w:pPr>
        <w:pStyle w:val="style0"/>
        <w:rPr>
          <w:rFonts w:cs="Times New Roman" w:eastAsia="Times New Roman"/>
          <w:color w:val="000000"/>
          <w:lang w:bidi="ar-SA" w:eastAsia="ru-RU"/>
        </w:rPr>
      </w:pPr>
      <w:r>
        <w:rPr>
          <w:rFonts w:cs="Times New Roman" w:eastAsia="Times New Roman"/>
          <w:color w:val="000000"/>
          <w:lang w:bidi="ar-SA" w:eastAsia="ru-RU"/>
        </w:rPr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31.12.2009 №1225</w:t>
      </w:r>
      <w:r>
        <w:rPr>
          <w:rFonts w:cs="Times New Roman" w:eastAsia="Times New Roman"/>
          <w:spacing w:val="1"/>
          <w:lang w:bidi="ar-SA"/>
        </w:rPr>
        <w:t xml:space="preserve"> </w:t>
      </w:r>
      <w:r>
        <w:rPr>
          <w:rFonts w:cs="Times New Roman" w:eastAsia="Times New Roman"/>
          <w:color w:val="000000"/>
          <w:spacing w:val="1"/>
          <w:lang w:bidi="ru-RU" w:eastAsia="ru-RU"/>
        </w:rPr>
        <w:t>«О требованиях к региональным и муниципальным программам в области энергосбережения и повышения энергетической эффективности», Уставом городского поселения Коммунистический, постановлением Администрации городского поселения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Коммунистический»: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  <w:t xml:space="preserve">1.Внести изменения в постановление Администрации г.п. Коммунистический от 28.11.2018г. № 288 «Об утверждении муниципальной программы «Энергосбережение и повышение энергетической эффективности </w:t>
      </w:r>
      <w:r>
        <w:rPr>
          <w:rFonts w:cs="Times New Roman" w:eastAsia="Times New Roman"/>
        </w:rPr>
        <w:t>городского поселения Коммунистический</w:t>
      </w:r>
      <w:r>
        <w:rPr>
          <w:rFonts w:cs="Times New Roman" w:eastAsia="Times New Roman"/>
          <w:color w:val="000000"/>
          <w:spacing w:val="1"/>
          <w:lang w:bidi="ru-RU" w:eastAsia="ru-RU"/>
        </w:rPr>
        <w:t>», а именно: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hanging="0" w:left="0" w:right="20"/>
        <w:jc w:val="both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  <w:t xml:space="preserve">       </w:t>
      </w:r>
      <w:r>
        <w:rPr>
          <w:rFonts w:cs="Times New Roman" w:eastAsia="Times New Roman"/>
          <w:color w:val="000000"/>
          <w:spacing w:val="1"/>
          <w:lang w:bidi="ru-RU" w:eastAsia="ru-RU"/>
        </w:rPr>
        <w:t>1.1 Приложение к постановлению изложить в новой редакции согласно приложению к настоящему постановлению.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/>
      </w:pPr>
      <w:r>
        <w:rPr>
          <w:rFonts w:cs="Calibri" w:eastAsia="Times New Roman"/>
          <w:color w:val="000000"/>
          <w:lang w:bidi="ar-SA" w:eastAsia="en-US"/>
        </w:rPr>
        <w:t xml:space="preserve">2. Опубликовать </w:t>
      </w:r>
      <w:r>
        <w:rPr/>
        <w:t>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/>
      </w:pPr>
      <w:r>
        <w:rPr/>
        <w:t>3. Настоящее постановление вступает в силу после его официального опубликования.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/>
      </w:pPr>
      <w:r>
        <w:rPr/>
        <w:t>4. Контроль исполнения настоящего постановления оставляю за собой.</w:t>
      </w:r>
    </w:p>
    <w:p>
      <w:pPr>
        <w:pStyle w:val="style0"/>
        <w:tabs>
          <w:tab w:leader="none" w:pos="0" w:val="left"/>
          <w:tab w:leader="none" w:pos="9591" w:val="right"/>
        </w:tabs>
        <w:spacing w:line="269" w:lineRule="exact"/>
        <w:ind w:firstLine="547" w:left="20" w:right="20"/>
        <w:jc w:val="both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</w:r>
    </w:p>
    <w:p>
      <w:pPr>
        <w:pStyle w:val="style0"/>
        <w:spacing w:line="254" w:lineRule="exact"/>
        <w:ind w:firstLine="560" w:left="20" w:right="20"/>
        <w:jc w:val="both"/>
        <w:rPr>
          <w:rFonts w:cs="Times New Roman" w:eastAsia="Times New Roman"/>
          <w:color w:val="000000"/>
          <w:spacing w:val="1"/>
          <w:lang w:bidi="ar-SA" w:eastAsia="ru-RU"/>
        </w:rPr>
      </w:pPr>
      <w:r>
        <w:rPr>
          <w:rFonts w:cs="Times New Roman" w:eastAsia="Times New Roman"/>
          <w:color w:val="000000"/>
          <w:spacing w:val="1"/>
          <w:lang w:bidi="ar-SA" w:eastAsia="ru-RU"/>
        </w:rPr>
      </w:r>
    </w:p>
    <w:p>
      <w:pPr>
        <w:pStyle w:val="style0"/>
        <w:rPr>
          <w:rFonts w:cs="Times New Roman" w:eastAsia="Arial"/>
          <w:color w:val="000000"/>
          <w:spacing w:val="1"/>
          <w:lang w:bidi="ar-SA" w:eastAsia="ru-RU"/>
        </w:rPr>
      </w:pPr>
      <w:r>
        <w:rPr>
          <w:rFonts w:cs="Times New Roman" w:eastAsia="Arial"/>
          <w:color w:val="000000"/>
          <w:spacing w:val="1"/>
          <w:lang w:bidi="ar-SA" w:eastAsia="ru-RU"/>
        </w:rPr>
      </w:r>
    </w:p>
    <w:p>
      <w:pPr>
        <w:pStyle w:val="style0"/>
        <w:jc w:val="both"/>
        <w:rPr>
          <w:rFonts w:cs="Times New Roman"/>
        </w:rPr>
      </w:pPr>
      <w:r>
        <w:rPr>
          <w:rFonts w:cs="Times New Roman" w:eastAsia="Arial"/>
        </w:rPr>
        <w:t>Глава</w:t>
      </w:r>
      <w:r>
        <w:rPr>
          <w:rFonts w:cs="Times New Roman" w:eastAsia="Times New Roman"/>
        </w:rPr>
        <w:t xml:space="preserve"> </w:t>
      </w:r>
      <w:r>
        <w:rPr>
          <w:rFonts w:cs="Times New Roman"/>
        </w:rPr>
        <w:t>городского</w:t>
      </w:r>
      <w:r>
        <w:rPr>
          <w:rFonts w:cs="Times New Roman" w:eastAsia="Times New Roman"/>
        </w:rPr>
        <w:t xml:space="preserve"> </w:t>
      </w:r>
      <w:r>
        <w:rPr>
          <w:rFonts w:cs="Times New Roman"/>
        </w:rPr>
        <w:t>поселения</w:t>
      </w:r>
    </w:p>
    <w:p>
      <w:pPr>
        <w:pStyle w:val="style0"/>
        <w:jc w:val="both"/>
        <w:rPr>
          <w:rFonts w:cs="Times New Roman" w:eastAsia="Arial"/>
        </w:rPr>
      </w:pPr>
      <w:r>
        <w:rPr>
          <w:rFonts w:cs="Times New Roman" w:eastAsia="Arial"/>
        </w:rPr>
        <w:t>Коммунистический</w:t>
        <w:tab/>
        <w:tab/>
        <w:tab/>
        <w:tab/>
        <w:tab/>
        <w:tab/>
        <w:tab/>
        <w:tab/>
        <w:tab/>
        <w:t>Л.А. Вилочева</w:t>
      </w:r>
    </w:p>
    <w:p>
      <w:pPr>
        <w:pStyle w:val="style0"/>
        <w:jc w:val="both"/>
        <w:rPr>
          <w:rFonts w:cs="Times New Roman" w:eastAsia="Arial"/>
        </w:rPr>
      </w:pPr>
      <w:r>
        <w:rPr>
          <w:rFonts w:cs="Times New Roman" w:eastAsia="Arial"/>
        </w:rPr>
      </w:r>
    </w:p>
    <w:p>
      <w:pPr>
        <w:pStyle w:val="style0"/>
        <w:jc w:val="both"/>
        <w:rPr>
          <w:rFonts w:cs="Times New Roman" w:eastAsia="Arial"/>
        </w:rPr>
      </w:pPr>
      <w:r>
        <w:rPr>
          <w:rFonts w:cs="Times New Roman" w:eastAsia="Arial"/>
        </w:rPr>
      </w:r>
    </w:p>
    <w:p>
      <w:pPr>
        <w:pStyle w:val="style0"/>
        <w:jc w:val="both"/>
        <w:rPr>
          <w:rFonts w:cs="Times New Roman" w:eastAsia="Arial"/>
        </w:rPr>
      </w:pPr>
      <w:r>
        <w:rPr>
          <w:rFonts w:cs="Times New Roman" w:eastAsia="Arial"/>
        </w:rPr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sz w:val="18"/>
          <w:szCs w:val="18"/>
          <w:lang w:bidi="ar-SA"/>
        </w:rPr>
      </w:pPr>
      <w:r>
        <w:rPr>
          <w:rFonts w:cs="Times New Roman" w:eastAsia="Times New Roman"/>
          <w:sz w:val="18"/>
          <w:szCs w:val="18"/>
          <w:lang w:bidi="ar-SA"/>
        </w:rPr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sz w:val="18"/>
          <w:szCs w:val="18"/>
          <w:lang w:bidi="ar-SA"/>
        </w:rPr>
      </w:pPr>
      <w:r>
        <w:rPr>
          <w:rFonts w:cs="Times New Roman" w:eastAsia="Times New Roman"/>
          <w:sz w:val="18"/>
          <w:szCs w:val="18"/>
          <w:lang w:bidi="ar-SA"/>
        </w:rPr>
        <w:t>Приложение</w:t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sz w:val="18"/>
          <w:szCs w:val="18"/>
          <w:lang w:bidi="ar-SA"/>
        </w:rPr>
      </w:pPr>
      <w:r>
        <w:rPr>
          <w:rFonts w:cs="Times New Roman" w:eastAsia="Times New Roman"/>
          <w:sz w:val="18"/>
          <w:szCs w:val="18"/>
          <w:lang w:bidi="ar-SA"/>
        </w:rPr>
        <w:t xml:space="preserve">к постановлению Администрации </w:t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color w:val="000000"/>
          <w:spacing w:val="1"/>
          <w:sz w:val="18"/>
          <w:szCs w:val="18"/>
          <w:lang w:bidi="ru-RU" w:eastAsia="ru-RU"/>
        </w:rPr>
      </w:pPr>
      <w:r>
        <w:rPr>
          <w:rFonts w:cs="Times New Roman" w:eastAsia="Times New Roman"/>
          <w:color w:val="000000"/>
          <w:spacing w:val="1"/>
          <w:sz w:val="18"/>
          <w:szCs w:val="18"/>
          <w:lang w:bidi="ru-RU" w:eastAsia="ru-RU"/>
        </w:rPr>
        <w:t>г. п. Коммунистический</w:t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sz w:val="18"/>
          <w:szCs w:val="18"/>
          <w:lang w:bidi="ar-SA"/>
        </w:rPr>
      </w:pPr>
      <w:r>
        <w:rPr>
          <w:rFonts w:cs="Times New Roman" w:eastAsia="Times New Roman"/>
          <w:sz w:val="18"/>
          <w:szCs w:val="18"/>
          <w:lang w:bidi="ar-SA"/>
        </w:rPr>
        <w:t xml:space="preserve">от  </w:t>
      </w:r>
      <w:r>
        <w:rPr>
          <w:rFonts w:cs="Times New Roman" w:eastAsia="Times New Roman"/>
          <w:sz w:val="18"/>
          <w:szCs w:val="18"/>
          <w:lang w:bidi="ar-SA"/>
        </w:rPr>
        <w:t>23</w:t>
      </w:r>
      <w:r>
        <w:rPr>
          <w:rFonts w:cs="Times New Roman" w:eastAsia="Times New Roman"/>
          <w:sz w:val="18"/>
          <w:szCs w:val="18"/>
          <w:lang w:bidi="ar-SA"/>
        </w:rPr>
        <w:t xml:space="preserve">.03.2021г.  № </w:t>
      </w:r>
      <w:bookmarkStart w:id="0" w:name="_GoBack"/>
      <w:bookmarkEnd w:id="0"/>
      <w:r>
        <w:rPr>
          <w:rFonts w:cs="Times New Roman" w:eastAsia="Times New Roman"/>
          <w:sz w:val="18"/>
          <w:szCs w:val="18"/>
          <w:lang w:bidi="ar-SA"/>
        </w:rPr>
        <w:t>41</w:t>
      </w:r>
    </w:p>
    <w:p>
      <w:pPr>
        <w:pStyle w:val="style0"/>
        <w:widowControl/>
        <w:tabs>
          <w:tab w:leader="none" w:pos="720" w:val="center"/>
        </w:tabs>
        <w:jc w:val="right"/>
        <w:rPr>
          <w:rFonts w:cs="Times New Roman" w:eastAsia="Times New Roman"/>
          <w:b/>
          <w:sz w:val="18"/>
          <w:szCs w:val="18"/>
          <w:lang w:bidi="ar-SA"/>
        </w:rPr>
      </w:pPr>
      <w:r>
        <w:rPr>
          <w:rFonts w:cs="Times New Roman" w:eastAsia="Times New Roman"/>
          <w:b/>
          <w:sz w:val="18"/>
          <w:szCs w:val="1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36"/>
          <w:szCs w:val="36"/>
          <w:lang w:bidi="ar-SA"/>
        </w:rPr>
      </w:pPr>
      <w:r>
        <w:rPr>
          <w:rFonts w:cs="Times New Roman" w:eastAsia="Times New Roman"/>
          <w:b/>
          <w:sz w:val="36"/>
          <w:szCs w:val="36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  <w:t xml:space="preserve">Муниципальная программа </w:t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  <w:t xml:space="preserve">«Энергосбережение и повышение энергетической </w:t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  <w:t>эффективности городского поселения Коммунистический»</w:t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612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540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540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540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540" w:val="left"/>
        </w:tabs>
        <w:jc w:val="center"/>
        <w:rPr>
          <w:rFonts w:cs="Times New Roman" w:eastAsia="Times New Roman"/>
          <w:b/>
          <w:sz w:val="28"/>
          <w:szCs w:val="28"/>
          <w:lang w:bidi="ar-SA"/>
        </w:rPr>
      </w:pPr>
      <w:r>
        <w:rPr>
          <w:rFonts w:cs="Times New Roman" w:eastAsia="Times New Roman"/>
          <w:b/>
          <w:sz w:val="28"/>
          <w:szCs w:val="28"/>
          <w:lang w:bidi="ar-SA"/>
        </w:rPr>
      </w:r>
    </w:p>
    <w:p>
      <w:pPr>
        <w:pStyle w:val="style0"/>
        <w:widowControl/>
        <w:tabs>
          <w:tab w:leader="none" w:pos="540" w:val="left"/>
        </w:tabs>
        <w:jc w:val="center"/>
        <w:rPr>
          <w:rFonts w:cs="Times New Roman" w:eastAsia="Times New Roman"/>
          <w:b/>
          <w:lang w:bidi="ar-SA"/>
        </w:rPr>
      </w:pPr>
      <w:r>
        <w:rPr>
          <w:rFonts w:cs="Times New Roman" w:eastAsia="Times New Roman"/>
          <w:b/>
          <w:lang w:bidi="ar-SA"/>
        </w:rPr>
        <w:t>Паспорт программы городского поселения Коммунистический</w:t>
      </w:r>
    </w:p>
    <w:p>
      <w:pPr>
        <w:pStyle w:val="style0"/>
        <w:widowControl/>
        <w:jc w:val="both"/>
        <w:rPr>
          <w:rFonts w:cs="Times New Roman" w:eastAsia="Times New Roman"/>
          <w:b/>
          <w:sz w:val="20"/>
          <w:szCs w:val="20"/>
          <w:lang w:bidi="ar-SA"/>
        </w:rPr>
      </w:pPr>
      <w:r>
        <w:rPr>
          <w:rFonts w:cs="Times New Roman" w:eastAsia="Times New Roman"/>
          <w:b/>
          <w:sz w:val="20"/>
          <w:szCs w:val="20"/>
          <w:lang w:bidi="ar-SA"/>
        </w:rPr>
      </w:r>
    </w:p>
    <w:tbl>
      <w:tblPr>
        <w:jc w:val="left"/>
        <w:tblInd w:type="dxa" w:w="-198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3858"/>
        <w:gridCol w:w="6099"/>
      </w:tblGrid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bookmarkStart w:id="1" w:name="_Hlk268087648"/>
            <w:bookmarkStart w:id="2" w:name="OLE_LINK2"/>
            <w:bookmarkStart w:id="3" w:name="OLE_LINK1"/>
            <w:bookmarkEnd w:id="1"/>
            <w:bookmarkEnd w:id="2"/>
            <w:bookmarkEnd w:id="3"/>
            <w:r>
              <w:rPr>
                <w:rFonts w:cs="Times New Roman" w:eastAsia="Times New Roman"/>
                <w:lang w:bidi="ar-SA"/>
              </w:rPr>
              <w:t>Наименование муниципальной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 xml:space="preserve"> </w:t>
            </w:r>
            <w:r>
              <w:rPr>
                <w:rFonts w:cs="Times New Roman" w:eastAsia="Times New Roman"/>
                <w:lang w:bidi="ar-SA"/>
              </w:rPr>
              <w:t>«Энергосбережение и повышение энергетической эффективности городского поселения Коммунистический» (далее муниципальная программа)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rPr>
                <w:rFonts w:cs="Times New Roman" w:eastAsia="Calibri"/>
                <w:lang w:bidi="ar-SA" w:eastAsia="ru-RU"/>
              </w:rPr>
            </w:pPr>
            <w:r>
              <w:rPr>
                <w:rFonts w:cs="Times New Roman" w:eastAsia="Calibri"/>
                <w:lang w:bidi="ar-SA" w:eastAsia="ru-RU"/>
              </w:rPr>
              <w:t xml:space="preserve">Дата утверждения муниципальной программы (наименование и номер муниципального правового акта) * 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Разработчик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Ответственный исполнитель муниципальной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289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1.Администрация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Соисполнители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289" w:val="left"/>
              </w:tabs>
              <w:jc w:val="both"/>
              <w:rPr>
                <w:rFonts w:ascii="Constantia" w:cs="Constantia" w:eastAsia="SimSun" w:hAnsi="Constantia"/>
                <w:lang w:bidi="ar-SA"/>
              </w:rPr>
            </w:pPr>
            <w:r>
              <w:rPr>
                <w:rFonts w:ascii="Constantia" w:cs="Constantia" w:eastAsia="SimSun" w:hAnsi="Constantia"/>
                <w:lang w:bidi="ar-SA"/>
              </w:rPr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 xml:space="preserve">Цель программы 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Повышение эффективности использования топливно-энергетических ресурсов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Задачи программы</w:t>
            </w:r>
          </w:p>
          <w:p>
            <w:pPr>
              <w:pStyle w:val="style0"/>
              <w:widowControl/>
              <w:jc w:val="both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 w:eastAsia="Times New Roman"/>
                <w:lang w:bidi="ar-SA"/>
              </w:rPr>
              <w:t> </w:t>
            </w:r>
            <w:r>
              <w:rPr>
                <w:rFonts w:cs="Times New Roman" w:eastAsia="Times New Roman"/>
                <w:lang w:bidi="ar-SA"/>
              </w:rPr>
              <w:t>1.</w:t>
            </w:r>
            <w:r>
              <w:rPr>
                <w:rFonts w:cs="Times New Roman"/>
                <w:lang w:bidi="ar-SA" w:eastAsia="ru-RU"/>
              </w:rPr>
              <w:t>Улучшение технических характеристик зданий Администрации.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/>
                <w:lang w:bidi="ar-SA" w:eastAsia="ru-RU"/>
              </w:rPr>
              <w:t>2.Улучшение технических характеристик энергопотребляющих устройств.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Основные мероприятия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/>
                <w:lang w:bidi="ar-SA" w:eastAsia="ru-RU"/>
              </w:rPr>
              <w:t>1.Ремонтные работы по внешнему контуру зданий и внутренних перекрытий;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/>
                <w:lang w:bidi="ar-SA" w:eastAsia="ru-RU"/>
              </w:rPr>
              <w:t>2.Замена установленных ламп на светодиодные в здании администрации;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/>
                <w:lang w:bidi="ar-SA" w:eastAsia="ru-RU"/>
              </w:rPr>
              <w:t>3.Химическая очистка внутренних поверхностей нагрева системы отопления;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/>
                <w:lang w:bidi="ar-SA" w:eastAsia="ru-RU"/>
              </w:rPr>
            </w:pPr>
            <w:r>
              <w:rPr>
                <w:rFonts w:cs="Times New Roman"/>
                <w:lang w:bidi="ar-SA" w:eastAsia="ru-RU"/>
              </w:rPr>
              <w:t>4.Модернизация уличного освещения городского поселения. Замена уличных светильников на светодиодные.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rPr>
                <w:rFonts w:cs="Times New Roman" w:eastAsia="Calibri"/>
                <w:lang w:bidi="ar-SA" w:eastAsia="ru-RU"/>
              </w:rPr>
            </w:pPr>
            <w:r>
              <w:rPr>
                <w:rFonts w:cs="Times New Roman" w:eastAsia="Calibri"/>
                <w:lang w:bidi="ar-SA" w:eastAsia="ru-RU"/>
              </w:rPr>
              <w:t>Наименование портфеля проектов, проекта, направленного в том числе на реализацию в г.п.Комму нистический национальных проектов (программ) Российской Федерации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rPr>
                <w:rFonts w:cs="Times New Roman" w:eastAsia="Calibri"/>
                <w:lang w:bidi="ar-SA" w:eastAsia="ru-RU"/>
              </w:rPr>
            </w:pPr>
            <w:r>
              <w:rPr>
                <w:rFonts w:cs="Times New Roman" w:eastAsia="Calibri"/>
                <w:lang w:bidi="ar-SA" w:eastAsia="ru-RU"/>
              </w:rPr>
              <w:t>Целевые показатели муниципальной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overflowPunct w:val="true"/>
              <w:spacing w:line="100" w:lineRule="atLeast"/>
              <w:jc w:val="both"/>
              <w:rPr>
                <w:rFonts w:cs="Calibri" w:eastAsia="Times New Roman"/>
                <w:lang w:bidi="ar-SA" w:eastAsia="en-US"/>
              </w:rPr>
            </w:pPr>
            <w:r>
              <w:rPr>
                <w:rFonts w:cs="Calibri" w:eastAsia="Times New Roman"/>
                <w:lang w:bidi="ar-SA" w:eastAsia="en-US"/>
              </w:rPr>
              <w:t>1.</w:t>
            </w:r>
            <w:r>
              <w:rPr>
                <w:rFonts w:cs="Times New Roman" w:eastAsia="Times New Roman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Уменьшение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объемов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энергопотребления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связи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с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улучшением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технических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характеристик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энергопотребляющих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устройств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lang w:bidi="ar-SA" w:eastAsia="en-US"/>
              </w:rPr>
              <w:t xml:space="preserve"> а</w:t>
            </w:r>
            <w:r>
              <w:rPr>
                <w:rFonts w:cs="Calibri" w:eastAsia="Times New Roman"/>
                <w:lang w:bidi="ar-SA" w:eastAsia="en-US"/>
              </w:rPr>
              <w:t>дминистрации до 95%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overflowPunct w:val="true"/>
              <w:spacing w:line="100" w:lineRule="atLeast"/>
              <w:jc w:val="both"/>
              <w:rPr>
                <w:rFonts w:cs="Calibri" w:eastAsia="Times New Roman"/>
                <w:color w:val="000000"/>
                <w:lang w:bidi="ar-SA" w:eastAsia="en-US"/>
              </w:rPr>
            </w:pPr>
            <w:r>
              <w:rPr>
                <w:rFonts w:cs="Calibri" w:eastAsia="Times New Roman"/>
                <w:lang w:bidi="ar-SA" w:eastAsia="en-US"/>
              </w:rPr>
              <w:t>2.</w:t>
            </w:r>
            <w:r>
              <w:rPr>
                <w:rFonts w:cs="Times New Roman" w:eastAsia="Times New Roman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установленных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ламп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на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светодиодные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color w:val="00000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color w:val="000000"/>
                <w:lang w:bidi="ar-SA" w:eastAsia="en-US"/>
              </w:rPr>
              <w:t xml:space="preserve"> а</w:t>
            </w:r>
            <w:r>
              <w:rPr>
                <w:rFonts w:cs="Calibri" w:eastAsia="Times New Roman"/>
                <w:color w:val="000000"/>
                <w:lang w:bidi="ar-SA" w:eastAsia="en-US"/>
              </w:rPr>
              <w:t>дминистрации до 69%</w:t>
            </w:r>
          </w:p>
          <w:p>
            <w:pPr>
              <w:pStyle w:val="style0"/>
              <w:widowControl/>
              <w:tabs>
                <w:tab w:leader="none" w:pos="289" w:val="left"/>
              </w:tabs>
              <w:jc w:val="both"/>
              <w:rPr>
                <w:rFonts w:cs="Calibri" w:eastAsia="Times New Roman"/>
                <w:lang w:bidi="ar-SA" w:eastAsia="ru-RU"/>
              </w:rPr>
            </w:pPr>
            <w:r>
              <w:rPr>
                <w:rFonts w:cs="Calibri" w:eastAsia="Times New Roman"/>
                <w:bCs/>
                <w:color w:val="000000"/>
                <w:lang w:bidi="ar-SA" w:eastAsia="en-US"/>
              </w:rPr>
              <w:t>3</w:t>
            </w:r>
            <w:r>
              <w:rPr>
                <w:rFonts w:cs="Calibri" w:eastAsia="Times New Roman"/>
                <w:b/>
                <w:bCs/>
                <w:color w:val="000000"/>
                <w:lang w:bidi="ar-SA" w:eastAsia="en-US"/>
              </w:rPr>
              <w:t>.</w:t>
            </w:r>
            <w:r>
              <w:rPr>
                <w:rFonts w:cs="Times New Roman" w:eastAsia="Times New Roman"/>
                <w:b/>
                <w:bCs/>
                <w:color w:val="000000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Модернизация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уличного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освещения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поселения.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уличных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светильников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на</w:t>
            </w:r>
            <w:r>
              <w:rPr>
                <w:rFonts w:cs="Times New Roman" w:eastAsia="Times New Roman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lang w:bidi="ar-SA" w:eastAsia="ru-RU"/>
              </w:rPr>
              <w:t>светодиодные до 45,6%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Сроки реализации муниципальной программы</w:t>
            </w:r>
          </w:p>
        </w:tc>
        <w:tc>
          <w:tcPr>
            <w:tcW w:type="dxa" w:w="609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2019 – 2025 годы и на период до 2030 года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Calibri"/>
                <w:lang w:bidi="ar-SA" w:eastAsia="ru-RU"/>
              </w:rPr>
              <w:t>Параметры финансового обеспечения муниципальной программы</w:t>
            </w:r>
            <w:r>
              <w:rPr>
                <w:rFonts w:cs="Times New Roman" w:eastAsia="Times New Roman"/>
                <w:lang w:bidi="ar-SA"/>
              </w:rPr>
              <w:t xml:space="preserve"> </w:t>
            </w:r>
          </w:p>
          <w:p>
            <w:pPr>
              <w:pStyle w:val="style0"/>
              <w:widowControl/>
              <w:jc w:val="both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  <w:tc>
          <w:tcPr>
            <w:tcW w:type="dxa" w:w="609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Общий объем финансирования программы составляет 1185,8 тыс. рублей, в том числе: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2019 год – 163,8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2020 год – 2,0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2021 год – 1,0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2022 год – 1,0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2023 год – 1,0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2024 год – 241,0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2025 год – 171,0 тыс. рублей;</w:t>
            </w:r>
          </w:p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lang w:bidi="ar-SA"/>
              </w:rPr>
            </w:pPr>
            <w:r>
              <w:rPr>
                <w:rFonts w:cs="Times New Roman" w:eastAsia="Times New Roman"/>
                <w:lang w:bidi="ar-SA"/>
              </w:rPr>
              <w:t>2026 – 2030 годы – 605,0 тыс.руб.</w:t>
            </w:r>
          </w:p>
        </w:tc>
      </w:tr>
      <w:tr>
        <w:trPr>
          <w:cantSplit w:val="false"/>
        </w:trPr>
        <w:tc>
          <w:tcPr>
            <w:tcW w:type="dxa" w:w="385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rPr>
                <w:rFonts w:cs="Times New Roman" w:eastAsia="Calibri"/>
                <w:lang w:bidi="ar-SA" w:eastAsia="ru-RU"/>
              </w:rPr>
            </w:pPr>
            <w:r>
              <w:rPr>
                <w:rFonts w:cs="Times New Roman" w:eastAsia="Calibri"/>
                <w:lang w:bidi="ar-SA"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</w:t>
              <w:br/>
              <w:t>в составе муниципальной программы</w:t>
            </w:r>
          </w:p>
        </w:tc>
        <w:tc>
          <w:tcPr>
            <w:tcW w:type="dxa" w:w="6099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tabs>
                <w:tab w:leader="none" w:pos="612" w:val="left"/>
              </w:tabs>
              <w:ind w:firstLine="113" w:left="0" w:right="0"/>
              <w:jc w:val="both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</w:tr>
    </w:tbl>
    <w:p>
      <w:pPr>
        <w:pStyle w:val="style0"/>
        <w:widowControl/>
        <w:jc w:val="both"/>
        <w:rPr>
          <w:rFonts w:cs="Times New Roman" w:eastAsia="Times New Roman"/>
          <w:sz w:val="28"/>
          <w:szCs w:val="20"/>
          <w:lang w:bidi="ar-SA"/>
        </w:rPr>
      </w:pPr>
      <w:r>
        <w:rPr>
          <w:rFonts w:cs="Times New Roman" w:eastAsia="Times New Roman"/>
          <w:sz w:val="28"/>
          <w:szCs w:val="20"/>
          <w:lang w:bidi="ar-SA"/>
        </w:rPr>
      </w:r>
    </w:p>
    <w:p>
      <w:pPr>
        <w:pStyle w:val="style0"/>
        <w:suppressAutoHyphens w:val="false"/>
        <w:jc w:val="both"/>
        <w:rPr>
          <w:lang w:eastAsia="ru-RU"/>
        </w:rPr>
      </w:pPr>
      <w:r>
        <w:rPr>
          <w:lang w:eastAsia="ru-RU"/>
        </w:rPr>
        <w:t xml:space="preserve">  </w:t>
      </w:r>
      <w:r>
        <w:rPr>
          <w:lang w:eastAsia="ru-RU"/>
        </w:rPr>
        <w:t>* Заполняется после утверждения муниципальной программы.</w:t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sz w:val="28"/>
          <w:szCs w:val="20"/>
          <w:lang w:bidi="ar-SA" w:eastAsia="ru-RU"/>
        </w:rPr>
      </w:pPr>
      <w:r>
        <w:rPr>
          <w:rFonts w:cs="Times New Roman" w:eastAsia="Times New Roman"/>
          <w:b/>
          <w:sz w:val="28"/>
          <w:szCs w:val="20"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sz w:val="28"/>
          <w:szCs w:val="20"/>
          <w:lang w:bidi="ar-SA" w:eastAsia="ru-RU"/>
        </w:rPr>
      </w:pPr>
      <w:r>
        <w:rPr>
          <w:rFonts w:cs="Times New Roman" w:eastAsia="Times New Roman"/>
          <w:b/>
          <w:sz w:val="28"/>
          <w:szCs w:val="20"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sz w:val="28"/>
          <w:szCs w:val="20"/>
          <w:lang w:bidi="ar-SA" w:eastAsia="ru-RU"/>
        </w:rPr>
      </w:pPr>
      <w:r>
        <w:rPr>
          <w:rFonts w:cs="Times New Roman" w:eastAsia="Times New Roman"/>
          <w:b/>
          <w:sz w:val="28"/>
          <w:szCs w:val="20"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0"/>
        <w:suppressAutoHyphens w:val="false"/>
        <w:ind w:firstLine="709" w:left="0" w:right="0"/>
        <w:jc w:val="center"/>
        <w:rPr>
          <w:rFonts w:cs="Times New Roman" w:eastAsia="Times New Roman"/>
          <w:b/>
          <w:sz w:val="20"/>
          <w:szCs w:val="20"/>
          <w:lang w:bidi="ar-SA" w:eastAsia="ru-RU"/>
        </w:rPr>
      </w:pPr>
      <w:r>
        <w:rPr>
          <w:rFonts w:cs="Times New Roman" w:eastAsia="Times New Roman"/>
          <w:b/>
          <w:sz w:val="20"/>
          <w:szCs w:val="20"/>
          <w:lang w:bidi="ar-SA" w:eastAsia="ru-RU"/>
        </w:rPr>
      </w:r>
    </w:p>
    <w:p>
      <w:pPr>
        <w:pStyle w:val="style0"/>
        <w:suppressAutoHyphens w:val="false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1.1. Формирование благоприятной деловой среды</w:t>
      </w:r>
    </w:p>
    <w:p>
      <w:pPr>
        <w:pStyle w:val="style0"/>
        <w:suppressAutoHyphens w:val="false"/>
        <w:rPr>
          <w:rFonts w:cs="Times New Roman" w:eastAsia="Times New Roman"/>
          <w:sz w:val="20"/>
          <w:szCs w:val="20"/>
          <w:lang w:bidi="ar-SA" w:eastAsia="ru-RU"/>
        </w:rPr>
      </w:pPr>
      <w:r>
        <w:rPr>
          <w:rFonts w:cs="Times New Roman" w:eastAsia="Times New Roman"/>
          <w:sz w:val="20"/>
          <w:szCs w:val="20"/>
          <w:lang w:bidi="ar-SA" w:eastAsia="ru-RU"/>
        </w:rPr>
      </w:r>
    </w:p>
    <w:p>
      <w:pPr>
        <w:pStyle w:val="style0"/>
        <w:suppressAutoHyphens w:val="false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Мероприятия, реализуемые в рамках   муниципальной программы, не направлены на регулирование отношений в сфере предпринимательской деятельности.</w:t>
      </w:r>
    </w:p>
    <w:p>
      <w:pPr>
        <w:pStyle w:val="style0"/>
        <w:suppressAutoHyphens w:val="false"/>
        <w:rPr>
          <w:rFonts w:cs="Times New Roman" w:eastAsia="Times New Roman"/>
          <w:sz w:val="20"/>
          <w:szCs w:val="20"/>
          <w:lang w:bidi="ar-SA" w:eastAsia="ru-RU"/>
        </w:rPr>
      </w:pPr>
      <w:r>
        <w:rPr>
          <w:rFonts w:cs="Times New Roman" w:eastAsia="Times New Roman"/>
          <w:sz w:val="20"/>
          <w:szCs w:val="20"/>
          <w:lang w:bidi="ar-SA" w:eastAsia="ru-RU"/>
        </w:rPr>
      </w:r>
    </w:p>
    <w:p>
      <w:pPr>
        <w:pStyle w:val="style0"/>
        <w:suppressAutoHyphens w:val="false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1.2. Инвестиционные проекты</w:t>
      </w:r>
    </w:p>
    <w:p>
      <w:pPr>
        <w:pStyle w:val="style0"/>
        <w:suppressAutoHyphens w:val="false"/>
        <w:rPr>
          <w:rFonts w:cs="Times New Roman" w:eastAsia="Times New Roman"/>
          <w:sz w:val="20"/>
          <w:szCs w:val="20"/>
          <w:lang w:bidi="ar-SA" w:eastAsia="ru-RU"/>
        </w:rPr>
      </w:pPr>
      <w:r>
        <w:rPr>
          <w:rFonts w:cs="Times New Roman" w:eastAsia="Times New Roman"/>
          <w:sz w:val="20"/>
          <w:szCs w:val="20"/>
          <w:lang w:bidi="ar-SA" w:eastAsia="ru-RU"/>
        </w:rPr>
      </w:r>
    </w:p>
    <w:p>
      <w:pPr>
        <w:pStyle w:val="style0"/>
        <w:suppressAutoHyphens w:val="false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Мероприятия, в рамках муниципальной программы, не предусматривают реализацию инвестиционных проектов.</w:t>
      </w:r>
    </w:p>
    <w:p>
      <w:pPr>
        <w:pStyle w:val="style0"/>
        <w:suppressAutoHyphens w:val="false"/>
        <w:rPr>
          <w:rFonts w:cs="Times New Roman" w:eastAsia="Times New Roman"/>
          <w:sz w:val="20"/>
          <w:szCs w:val="20"/>
          <w:lang w:bidi="ar-SA" w:eastAsia="ru-RU"/>
        </w:rPr>
      </w:pPr>
      <w:r>
        <w:rPr>
          <w:rFonts w:cs="Times New Roman" w:eastAsia="Times New Roman"/>
          <w:sz w:val="20"/>
          <w:szCs w:val="20"/>
          <w:lang w:bidi="ar-SA" w:eastAsia="ru-RU"/>
        </w:rPr>
      </w:r>
    </w:p>
    <w:p>
      <w:pPr>
        <w:pStyle w:val="style0"/>
        <w:suppressAutoHyphens w:val="false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1.3. Развитие конкуренции</w:t>
      </w:r>
    </w:p>
    <w:p>
      <w:pPr>
        <w:pStyle w:val="style0"/>
        <w:suppressAutoHyphens w:val="false"/>
        <w:rPr>
          <w:rFonts w:cs="Times New Roman" w:eastAsia="Times New Roman"/>
          <w:sz w:val="20"/>
          <w:szCs w:val="20"/>
          <w:lang w:bidi="ar-SA" w:eastAsia="ru-RU"/>
        </w:rPr>
      </w:pPr>
      <w:r>
        <w:rPr>
          <w:rFonts w:cs="Times New Roman" w:eastAsia="Times New Roman"/>
          <w:sz w:val="20"/>
          <w:szCs w:val="20"/>
          <w:lang w:bidi="ar-SA" w:eastAsia="ru-RU"/>
        </w:rPr>
      </w:r>
    </w:p>
    <w:p>
      <w:pPr>
        <w:pStyle w:val="style0"/>
        <w:suppressAutoHyphens w:val="false"/>
        <w:jc w:val="both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lang w:bidi="ar-SA" w:eastAsia="ru-RU"/>
        </w:rPr>
        <w:t xml:space="preserve">       </w:t>
      </w:r>
      <w:r>
        <w:rPr>
          <w:rFonts w:cs="Times New Roman" w:eastAsia="Times New Roman"/>
          <w:lang w:bidi="ar-SA" w:eastAsia="ru-RU"/>
        </w:rPr>
        <w:t>Мероприятия муниципальной программы не направлены на осуществление мер по развитию конкуренции и содействию импорт замещению в автономном округе, реализацию стандарта развития конкуренции.</w:t>
      </w:r>
    </w:p>
    <w:p>
      <w:pPr>
        <w:pStyle w:val="style0"/>
        <w:suppressAutoHyphens w:val="false"/>
        <w:ind w:firstLine="540" w:left="0" w:right="0"/>
        <w:jc w:val="both"/>
        <w:rPr>
          <w:rFonts w:cs="Times New Roman" w:eastAsia="Times New Roman"/>
          <w:b/>
          <w:sz w:val="20"/>
          <w:szCs w:val="20"/>
          <w:lang w:bidi="ar-SA" w:eastAsia="ru-RU"/>
        </w:rPr>
      </w:pPr>
      <w:r>
        <w:rPr>
          <w:rFonts w:cs="Times New Roman" w:eastAsia="Times New Roman"/>
          <w:b/>
          <w:sz w:val="20"/>
          <w:szCs w:val="20"/>
          <w:lang w:bidi="ar-SA" w:eastAsia="ru-RU"/>
        </w:rPr>
      </w:r>
    </w:p>
    <w:p>
      <w:pPr>
        <w:pStyle w:val="style0"/>
        <w:suppressAutoHyphens w:val="false"/>
        <w:jc w:val="center"/>
        <w:rPr>
          <w:rFonts w:cs="Times New Roman" w:eastAsia="Times New Roman"/>
          <w:b/>
          <w:lang w:bidi="ar-SA" w:eastAsia="ru-RU"/>
        </w:rPr>
      </w:pPr>
      <w:r>
        <w:rPr>
          <w:rFonts w:cs="Times New Roman" w:eastAsia="Times New Roman"/>
          <w:b/>
          <w:lang w:bidi="ar-SA" w:eastAsia="ru-RU"/>
        </w:rPr>
        <w:t>Раздел 2.  Механизм реализации муниципальной программы</w:t>
      </w:r>
    </w:p>
    <w:p>
      <w:pPr>
        <w:pStyle w:val="style0"/>
        <w:widowControl/>
        <w:ind w:firstLine="567" w:left="0" w:right="0"/>
        <w:jc w:val="both"/>
        <w:rPr>
          <w:rFonts w:cs="Times New Roman" w:eastAsia="Times New Roman"/>
          <w:b/>
          <w:sz w:val="20"/>
          <w:szCs w:val="20"/>
          <w:lang w:bidi="ar-SA" w:eastAsia="ru-RU"/>
        </w:rPr>
      </w:pPr>
      <w:r>
        <w:rPr>
          <w:rFonts w:cs="Times New Roman" w:eastAsia="Times New Roman"/>
          <w:b/>
          <w:sz w:val="20"/>
          <w:szCs w:val="20"/>
          <w:lang w:bidi="ar-SA" w:eastAsia="ru-RU"/>
        </w:rPr>
      </w:r>
    </w:p>
    <w:p>
      <w:pPr>
        <w:pStyle w:val="style0"/>
        <w:widowControl/>
        <w:ind w:firstLine="600" w:left="0" w:right="4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1. Финансирование муниципальной программы «Энергосбережение и повышение энергетической эффективности городского поселения Коммунистический» осуществляется в пределах бюджетных ассигнований, утвержденных решением Совета депутатов городского поселения Коммунистический о бюджете.</w:t>
      </w:r>
    </w:p>
    <w:p>
      <w:pPr>
        <w:pStyle w:val="style0"/>
        <w:widowControl/>
        <w:ind w:firstLine="600" w:left="0" w:right="4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2. Реализация мероприятий программы осуществляется в соответствии с Бюджетным кодексом Российской Федерации, иными нормативно-правовыми актами, муниципальными правовыми актами.</w:t>
      </w:r>
    </w:p>
    <w:p>
      <w:pPr>
        <w:pStyle w:val="style0"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 Механизм реализации муниципальной программы представляет собой скоординированные по срокам и направлениям действия и включает:</w:t>
      </w:r>
    </w:p>
    <w:p>
      <w:pPr>
        <w:pStyle w:val="style0"/>
        <w:widowControl/>
        <w:ind w:firstLine="600" w:left="0" w:right="38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3.1. разработку проектов нормативных правовых актов городского поселения Коммунистический, необходимых для выполнения программы, и внесение их на рассмотрение в Администрацию городского поселения Коммунистический;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3.2. взаимодействие с коммерческими и некоммерческими организациями по вопросам, относящимся к установленным сферам деятельности Финансово-экономического отдела;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3.3. уточнение объемов финансирования по программным мероприятиям на очередной финансовый год и плановый период в соответствии с мониторингом фактически достигнутых результатов путем сопоставления их с целевыми показателями реализации программы;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 xml:space="preserve">3.4. управление программой, эффективное использование средств, выделенных </w:t>
        <w:br/>
        <w:t>на реализацию программы;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3.5. предоставление главе городского поселения Коммунистический отчета о ходе реализации муниципальной программы;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3.6. информирование общественности о ходе и результатах реализации программы, финансировании программных мероприятий, в том числе о механизмах реализации отдельных мероприятий программы.</w:t>
      </w:r>
    </w:p>
    <w:p>
      <w:pPr>
        <w:pStyle w:val="style0"/>
        <w:widowControl/>
        <w:ind w:firstLine="600" w:left="0" w:right="4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>Реализация мероприятий программы осуществляется в соответствии с Бюджетным кодексом Российской Федерации, иными нормативно-правовыми актами, муниципальными правовыми актами.</w:t>
      </w:r>
    </w:p>
    <w:p>
      <w:pPr>
        <w:pStyle w:val="style0"/>
        <w:ind w:firstLine="600" w:left="0" w:right="0"/>
        <w:jc w:val="both"/>
        <w:rPr>
          <w:rFonts w:cs="Times New Roman" w:eastAsia="Times New Roman"/>
          <w:lang w:bidi="ar-SA"/>
        </w:rPr>
      </w:pPr>
      <w:r>
        <w:rPr>
          <w:rFonts w:cs="Times New Roman" w:eastAsia="Times New Roman"/>
          <w:lang w:bidi="ar-SA"/>
        </w:rPr>
        <w:t xml:space="preserve"> </w:t>
      </w:r>
      <w:r>
        <w:rPr>
          <w:rFonts w:cs="Times New Roman" w:eastAsia="Times New Roman"/>
          <w:color w:val="000000"/>
          <w:lang w:bidi="ar-SA"/>
        </w:rPr>
        <w:t>Мероприятия программы по представлению муниципального образования</w:t>
        <w:br/>
        <w:t>в отношениях с органами местного самоуправления других муниципальных образований, органами государственной власти, гражданами и организациями</w:t>
      </w:r>
      <w:r>
        <w:rPr>
          <w:rFonts w:cs="Times New Roman" w:eastAsia="Times New Roman"/>
          <w:lang w:bidi="ar-SA"/>
        </w:rPr>
        <w:t xml:space="preserve"> реализуется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>
      <w:pPr>
        <w:pStyle w:val="style0"/>
        <w:widowControl/>
        <w:ind w:firstLine="600" w:left="0" w:right="0"/>
        <w:jc w:val="both"/>
        <w:rPr>
          <w:rFonts w:cs="Times New Roman" w:eastAsia="Times New Roman"/>
          <w:lang w:bidi="ar-SA" w:eastAsia="en-US"/>
        </w:rPr>
      </w:pPr>
      <w:r>
        <w:rPr>
          <w:rFonts w:cs="Times New Roman" w:eastAsia="Times New Roman"/>
          <w:color w:val="000000"/>
          <w:lang w:bidi="ar-SA"/>
        </w:rPr>
        <w:t>О</w:t>
      </w:r>
      <w:r>
        <w:rPr>
          <w:rFonts w:cs="Times New Roman" w:eastAsia="Calibri"/>
          <w:lang w:bidi="ar-SA" w:eastAsia="en-US"/>
        </w:rPr>
        <w:t xml:space="preserve">тветственный исполнитель </w:t>
      </w:r>
      <w:r>
        <w:rPr>
          <w:rFonts w:cs="Times New Roman" w:eastAsia="Times New Roman"/>
          <w:color w:val="000000"/>
          <w:lang w:bidi="ar-SA"/>
        </w:rPr>
        <w:t xml:space="preserve">муниципальной программы </w:t>
      </w:r>
      <w:r>
        <w:rPr>
          <w:rFonts w:cs="Times New Roman" w:eastAsia="Times New Roman"/>
          <w:lang w:bidi="ar-SA" w:eastAsia="en-US"/>
        </w:rPr>
        <w:t>и должностные лица, ответственные за формирование, утверждение и реализацию муниципальных программ:</w:t>
      </w:r>
    </w:p>
    <w:p>
      <w:pPr>
        <w:pStyle w:val="style0"/>
        <w:tabs>
          <w:tab w:leader="none" w:pos="282" w:val="left"/>
        </w:tabs>
        <w:jc w:val="both"/>
        <w:rPr>
          <w:rFonts w:cs="Times New Roman" w:eastAsia="Times New Roman"/>
          <w:lang w:bidi="ar-SA" w:eastAsia="ru-RU"/>
        </w:rPr>
      </w:pPr>
      <w:r>
        <w:rPr>
          <w:rFonts w:cs="Times New Roman" w:eastAsia="Times New Roman"/>
          <w:color w:val="000000"/>
          <w:lang w:bidi="ar-SA"/>
        </w:rPr>
        <w:tab/>
        <w:tab/>
        <w:t xml:space="preserve"> - несут ответственность </w:t>
      </w:r>
      <w:r>
        <w:rPr>
          <w:rFonts w:cs="Times New Roman" w:eastAsia="Times New Roman"/>
          <w:lang w:bidi="ar-SA" w:eastAsia="ru-RU"/>
        </w:rPr>
        <w:t>(</w:t>
      </w:r>
      <w:r>
        <w:rPr>
          <w:rFonts w:cs="Times New Roman" w:eastAsia="Calibri"/>
          <w:lang w:bidi="ar-SA" w:eastAsia="en-US"/>
        </w:rPr>
        <w:t>дисциплинарную, гражданско-правовую и административную)</w:t>
      </w:r>
      <w:r>
        <w:rPr>
          <w:rFonts w:cs="Times New Roman" w:eastAsia="Times New Roman"/>
          <w:lang w:bidi="ar-SA" w:eastAsia="ru-RU"/>
        </w:rPr>
        <w:t>, в том числе за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widowControl/>
        <w:shd w:fill="FFFFFF" w:val="clear"/>
        <w:tabs>
          <w:tab w:leader="none" w:pos="851" w:val="left"/>
        </w:tabs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ab/>
        <w:t xml:space="preserve">- разрабатывают в пределах своих полномочий проекты муниципальных правовых актов </w:t>
      </w:r>
      <w:r>
        <w:rPr>
          <w:rFonts w:cs="Times New Roman" w:eastAsia="Times New Roman"/>
          <w:color w:val="000000"/>
          <w:lang w:bidi="ar-SA" w:eastAsia="ru-RU"/>
        </w:rPr>
        <w:t>городского поселения Коммунистический</w:t>
      </w:r>
      <w:r>
        <w:rPr>
          <w:rFonts w:cs="Times New Roman" w:eastAsia="Times New Roman"/>
          <w:color w:val="000000"/>
          <w:lang w:bidi="ar-SA"/>
        </w:rPr>
        <w:t>, необходимых для реализации муниципальной программы;</w:t>
      </w:r>
    </w:p>
    <w:p>
      <w:pPr>
        <w:pStyle w:val="style0"/>
        <w:widowControl/>
        <w:shd w:fill="FFFFFF" w:val="clear"/>
        <w:tabs>
          <w:tab w:leader="none" w:pos="567" w:val="left"/>
          <w:tab w:leader="none" w:pos="851" w:val="left"/>
        </w:tabs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ab/>
        <w:t xml:space="preserve">- обеспечивают исполнение мероприятий муниципальной программы; </w:t>
      </w:r>
    </w:p>
    <w:p>
      <w:pPr>
        <w:pStyle w:val="style0"/>
        <w:widowControl/>
        <w:shd w:fill="FFFFFF" w:val="clear"/>
        <w:tabs>
          <w:tab w:leader="none" w:pos="851" w:val="left"/>
        </w:tabs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 xml:space="preserve">         </w:t>
      </w:r>
      <w:r>
        <w:rPr>
          <w:rFonts w:cs="Times New Roman" w:eastAsia="Times New Roman"/>
          <w:color w:val="000000"/>
          <w:lang w:bidi="ar-SA"/>
        </w:rPr>
        <w:t xml:space="preserve">- проводят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widowControl/>
        <w:shd w:fill="FFFFFF" w:val="clear"/>
        <w:tabs>
          <w:tab w:leader="none" w:pos="851" w:val="left"/>
        </w:tabs>
        <w:ind w:hanging="0" w:left="567" w:right="0"/>
        <w:jc w:val="both"/>
        <w:rPr>
          <w:rFonts w:cs="Times New Roman" w:eastAsia="Times New Roman"/>
          <w:lang w:bidi="ar-SA" w:eastAsia="en-US"/>
        </w:rPr>
      </w:pPr>
      <w:r>
        <w:rPr>
          <w:rFonts w:cs="Times New Roman" w:eastAsia="Times New Roman"/>
          <w:color w:val="000000"/>
          <w:lang w:bidi="ar-SA"/>
        </w:rPr>
        <w:t xml:space="preserve">- ежегодно предоставляют в Уполномоченный орган </w:t>
      </w:r>
      <w:r>
        <w:rPr>
          <w:rFonts w:cs="Times New Roman" w:eastAsia="Times New Roman"/>
          <w:lang w:bidi="ar-SA" w:eastAsia="en-US"/>
        </w:rPr>
        <w:t>отчет о реализации муниципальной</w:t>
      </w:r>
    </w:p>
    <w:p>
      <w:pPr>
        <w:pStyle w:val="style0"/>
        <w:widowControl/>
        <w:shd w:fill="FFFFFF" w:val="clear"/>
        <w:tabs>
          <w:tab w:leader="none" w:pos="851" w:val="left"/>
        </w:tabs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lang w:bidi="ar-SA" w:eastAsia="en-US"/>
        </w:rPr>
        <w:t xml:space="preserve">программы </w:t>
      </w:r>
      <w:r>
        <w:rPr>
          <w:rFonts w:cs="Times New Roman" w:eastAsia="Times New Roman"/>
          <w:color w:val="000000"/>
          <w:lang w:bidi="ar-SA"/>
        </w:rPr>
        <w:t xml:space="preserve">в порядке, установленном распоряжением Администрации </w:t>
      </w:r>
      <w:r>
        <w:rPr>
          <w:rFonts w:cs="Times New Roman" w:eastAsia="Times New Roman"/>
          <w:color w:val="000000"/>
          <w:lang w:bidi="ar-SA" w:eastAsia="ru-RU"/>
        </w:rPr>
        <w:t>городского поселения Коммунистический</w:t>
      </w:r>
      <w:r>
        <w:rPr>
          <w:rFonts w:cs="Times New Roman" w:eastAsia="Times New Roman"/>
          <w:color w:val="000000"/>
          <w:lang w:bidi="ar-SA"/>
        </w:rPr>
        <w:t>;</w:t>
      </w:r>
    </w:p>
    <w:p>
      <w:pPr>
        <w:pStyle w:val="style0"/>
        <w:widowControl/>
        <w:shd w:fill="FFFFFF" w:val="clear"/>
        <w:tabs>
          <w:tab w:leader="none" w:pos="851" w:val="left"/>
        </w:tabs>
        <w:ind w:hanging="0" w:left="567" w:right="0"/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>-  ежегодно проводят оценку эффективности реализации муниципальной программы в</w:t>
      </w:r>
    </w:p>
    <w:p>
      <w:pPr>
        <w:pStyle w:val="style0"/>
        <w:widowControl/>
        <w:shd w:fill="FFFFFF" w:val="clear"/>
        <w:tabs>
          <w:tab w:leader="none" w:pos="851" w:val="left"/>
        </w:tabs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 xml:space="preserve">порядке, установленном постановлением Администрации </w:t>
      </w:r>
      <w:r>
        <w:rPr>
          <w:rFonts w:cs="Times New Roman" w:eastAsia="Times New Roman"/>
          <w:color w:val="000000"/>
          <w:lang w:bidi="ar-SA" w:eastAsia="ru-RU"/>
        </w:rPr>
        <w:t>городского поселения Коммунистический</w:t>
      </w:r>
      <w:r>
        <w:rPr>
          <w:rFonts w:cs="Times New Roman" w:eastAsia="Times New Roman"/>
          <w:color w:val="000000"/>
          <w:lang w:bidi="ar-SA"/>
        </w:rPr>
        <w:t>;</w:t>
      </w:r>
    </w:p>
    <w:p>
      <w:pPr>
        <w:pStyle w:val="style0"/>
        <w:widowControl/>
        <w:shd w:fill="FFFFFF" w:val="clear"/>
        <w:tabs>
          <w:tab w:leader="none" w:pos="426" w:val="left"/>
          <w:tab w:leader="none" w:pos="851" w:val="left"/>
        </w:tabs>
        <w:ind w:hanging="0" w:left="567" w:right="0"/>
        <w:jc w:val="both"/>
        <w:rPr>
          <w:rFonts w:cs="Times New Roman" w:eastAsia="Times New Roman"/>
          <w:color w:val="000000"/>
          <w:lang w:bidi="ar-SA"/>
        </w:rPr>
      </w:pPr>
      <w:r>
        <w:rPr>
          <w:rFonts w:cs="Times New Roman" w:eastAsia="Times New Roman"/>
          <w:color w:val="000000"/>
          <w:lang w:bidi="ar-SA"/>
        </w:rPr>
        <w:t xml:space="preserve">-  организуют размещение муниципальной программы в актуальной редакции, </w:t>
      </w:r>
    </w:p>
    <w:p>
      <w:pPr>
        <w:pStyle w:val="style0"/>
        <w:widowControl/>
        <w:shd w:fill="FFFFFF" w:val="clear"/>
        <w:tabs>
          <w:tab w:leader="none" w:pos="426" w:val="left"/>
          <w:tab w:leader="none" w:pos="851" w:val="left"/>
        </w:tabs>
        <w:jc w:val="both"/>
        <w:rPr>
          <w:rFonts w:cs="Times New Roman" w:eastAsia="Times New Roman"/>
          <w:color w:val="000000"/>
          <w:shd w:fill="FFFFFF" w:val="clear"/>
          <w:lang w:bidi="ar-SA"/>
        </w:rPr>
      </w:pPr>
      <w:r>
        <w:rPr>
          <w:rFonts w:cs="Times New Roman" w:eastAsia="Times New Roman"/>
          <w:color w:val="000000"/>
          <w:lang w:bidi="ar-SA"/>
        </w:rPr>
        <w:t>информации о реализации муниципальной программы н</w:t>
      </w:r>
      <w:r>
        <w:rPr>
          <w:rFonts w:cs="Times New Roman" w:eastAsia="Times New Roman"/>
          <w:color w:val="000000"/>
          <w:shd w:fill="FFFFFF" w:val="clear"/>
          <w:lang w:bidi="ar-SA"/>
        </w:rPr>
        <w:t xml:space="preserve">а официальном сайте </w:t>
      </w:r>
      <w:r>
        <w:rPr>
          <w:rFonts w:cs="Times New Roman" w:eastAsia="Times New Roman"/>
          <w:color w:val="000000"/>
          <w:shd w:fill="FFFFFF" w:val="clear"/>
          <w:lang w:bidi="ar-SA" w:eastAsia="ru-RU"/>
        </w:rPr>
        <w:t>городского поселения Коммунистический,</w:t>
      </w:r>
      <w:r>
        <w:rPr>
          <w:rFonts w:cs="Times New Roman" w:eastAsia="Times New Roman"/>
          <w:color w:val="000000"/>
          <w:shd w:fill="FFFFFF" w:val="clear"/>
          <w:lang w:bidi="ar-SA"/>
        </w:rPr>
        <w:t xml:space="preserve"> на общедоступном информационном ресурсе стратегического планирования в информационно-телекоммуникационной сети «Интернет»;</w:t>
      </w:r>
    </w:p>
    <w:p>
      <w:pPr>
        <w:pStyle w:val="style0"/>
        <w:widowControl/>
        <w:shd w:fill="FFFFFF" w:val="clear"/>
        <w:tabs>
          <w:tab w:leader="none" w:pos="567" w:val="left"/>
          <w:tab w:leader="none" w:pos="851" w:val="left"/>
        </w:tabs>
        <w:jc w:val="both"/>
        <w:rPr>
          <w:rFonts w:cs="Times New Roman" w:eastAsia="Calibri"/>
          <w:color w:val="000000"/>
          <w:lang w:bidi="ar-SA" w:eastAsia="en-US"/>
        </w:rPr>
      </w:pPr>
      <w:r>
        <w:rPr>
          <w:rFonts w:cs="Times New Roman" w:eastAsia="Times New Roman"/>
          <w:color w:val="000000"/>
          <w:lang w:bidi="ar-SA"/>
        </w:rPr>
        <w:tab/>
        <w:t xml:space="preserve">-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cs="Times New Roman" w:eastAsia="Calibri"/>
          <w:color w:val="000000"/>
          <w:lang w:bidi="ar-SA" w:eastAsia="en-US"/>
        </w:rPr>
        <w:t>посредством ГАИС «Управление».</w:t>
      </w:r>
    </w:p>
    <w:p>
      <w:pPr>
        <w:pStyle w:val="style0"/>
        <w:spacing w:line="254" w:lineRule="exact"/>
        <w:ind w:firstLine="709" w:left="0" w:right="20"/>
        <w:jc w:val="both"/>
        <w:rPr>
          <w:rFonts w:cs="Times New Roman" w:eastAsia="Times New Roman"/>
          <w:color w:val="000000"/>
          <w:spacing w:val="1"/>
          <w:lang w:bidi="ru-RU" w:eastAsia="ru-RU"/>
        </w:rPr>
      </w:pPr>
      <w:r>
        <w:rPr>
          <w:rFonts w:cs="Times New Roman" w:eastAsia="Times New Roman"/>
          <w:color w:val="000000"/>
          <w:spacing w:val="1"/>
          <w:lang w:bidi="ru-RU" w:eastAsia="ru-RU"/>
        </w:rPr>
        <w:t xml:space="preserve">Мероприятия </w:t>
      </w:r>
      <w:r>
        <w:rPr>
          <w:rFonts w:cs="Times New Roman" w:eastAsia="Times New Roman"/>
          <w:bCs/>
          <w:spacing w:val="1"/>
          <w:lang w:bidi="ar-SA" w:eastAsia="ru-RU"/>
        </w:rPr>
        <w:t>муниципальной</w:t>
      </w:r>
      <w:r>
        <w:rPr>
          <w:rFonts w:cs="Times New Roman" w:eastAsia="Times New Roman"/>
          <w:color w:val="000000"/>
          <w:spacing w:val="1"/>
          <w:lang w:bidi="ru-RU" w:eastAsia="ru-RU"/>
        </w:rPr>
        <w:t xml:space="preserve"> программы, предусмотренные для улучшения технических характеристик энергопотребляющих устройств, технических характеристик здания администрации за счет средств бюджета городского поселения Коммунистический в соответствии с муниципальными правовыми актами Администрации городского поселения Коммунистический. </w:t>
      </w:r>
    </w:p>
    <w:p>
      <w:pPr>
        <w:sectPr>
          <w:type w:val="nextPage"/>
          <w:pgSz w:h="16838" w:w="11906"/>
          <w:pgMar w:bottom="1135" w:footer="0" w:gutter="0" w:header="0" w:left="1425" w:right="797" w:top="567"/>
          <w:pgNumType w:fmt="decimal"/>
          <w:formProt w:val="false"/>
          <w:textDirection w:val="lrTb"/>
          <w:docGrid w:charSpace="0" w:linePitch="360" w:type="default"/>
        </w:sectPr>
        <w:pStyle w:val="style122"/>
        <w:shd w:fill="FFFFFF" w:val="clear"/>
        <w:spacing w:after="0" w:before="0" w:line="269" w:lineRule="exact"/>
        <w:ind w:firstLine="709" w:left="0" w:right="0"/>
        <w:contextualSpacing w:val="false"/>
        <w:jc w:val="both"/>
        <w:rPr>
          <w:color w:val="000000"/>
          <w:sz w:val="24"/>
          <w:szCs w:val="24"/>
          <w:lang w:bidi="ru-RU" w:eastAsia="ru-RU"/>
        </w:rPr>
      </w:pPr>
      <w:r>
        <w:rPr>
          <w:color w:val="000000"/>
          <w:sz w:val="24"/>
          <w:szCs w:val="24"/>
          <w:lang w:bidi="ru-RU" w:eastAsia="ru-RU"/>
        </w:rPr>
        <w:t xml:space="preserve">Оценка хода исполнения мероприятий </w:t>
      </w:r>
      <w:r>
        <w:rPr>
          <w:bCs/>
          <w:sz w:val="24"/>
          <w:szCs w:val="24"/>
          <w:lang w:eastAsia="ru-RU"/>
        </w:rPr>
        <w:t>муниципальной</w:t>
      </w:r>
      <w:r>
        <w:rPr>
          <w:color w:val="000000"/>
          <w:sz w:val="24"/>
          <w:szCs w:val="24"/>
          <w:lang w:bidi="ru-RU" w:eastAsia="ru-RU"/>
        </w:rPr>
        <w:t xml:space="preserve"> программы основана на мониторинге ожидаемых и фактически достигнутых результатов её реализации. В соответствии с данными мониторинга по фактически достигнутым результатам реализации в </w:t>
      </w:r>
      <w:r>
        <w:rPr>
          <w:bCs/>
          <w:sz w:val="24"/>
          <w:szCs w:val="24"/>
          <w:lang w:eastAsia="ru-RU"/>
        </w:rPr>
        <w:t>муниципальную</w:t>
      </w:r>
      <w:r>
        <w:rPr>
          <w:color w:val="000000"/>
          <w:sz w:val="24"/>
          <w:szCs w:val="24"/>
          <w:lang w:bidi="ru-RU" w:eastAsia="ru-RU"/>
        </w:rPr>
        <w:t xml:space="preserve"> программу могут быть внесены корректировки. В случае выявления лучших практик реализации программных мероприятий в </w:t>
      </w:r>
      <w:r>
        <w:rPr>
          <w:bCs/>
          <w:sz w:val="24"/>
          <w:szCs w:val="24"/>
          <w:lang w:eastAsia="ru-RU"/>
        </w:rPr>
        <w:t>муниципальную</w:t>
      </w:r>
      <w:r>
        <w:rPr>
          <w:color w:val="000000"/>
          <w:sz w:val="24"/>
          <w:szCs w:val="24"/>
          <w:lang w:bidi="ru-RU" w:eastAsia="ru-RU"/>
        </w:rPr>
        <w:t xml:space="preserve"> программу могут быть внесены изменения, связанные с оптимизацией этих мероприятий.</w:t>
      </w:r>
    </w:p>
    <w:p>
      <w:pPr>
        <w:pStyle w:val="style0"/>
        <w:jc w:val="right"/>
        <w:rPr>
          <w:sz w:val="20"/>
          <w:szCs w:val="20"/>
          <w:lang w:bidi="ar-SA" w:eastAsia="ru-RU"/>
        </w:rPr>
      </w:pPr>
      <w:r>
        <w:rPr>
          <w:sz w:val="20"/>
          <w:szCs w:val="20"/>
          <w:lang w:bidi="ar-SA" w:eastAsia="ru-RU"/>
        </w:rPr>
        <w:t>Таблица 1</w:t>
      </w:r>
    </w:p>
    <w:p>
      <w:pPr>
        <w:pStyle w:val="style0"/>
        <w:jc w:val="center"/>
        <w:rPr>
          <w:b/>
          <w:lang w:bidi="ar-SA" w:eastAsia="ru-RU"/>
        </w:rPr>
      </w:pPr>
      <w:r>
        <w:rPr>
          <w:b/>
          <w:lang w:bidi="ar-SA" w:eastAsia="ru-RU"/>
        </w:rPr>
        <w:t>Целевые показатели муниципальной программы</w:t>
      </w:r>
    </w:p>
    <w:p>
      <w:pPr>
        <w:pStyle w:val="style0"/>
        <w:rPr>
          <w:b/>
          <w:sz w:val="20"/>
          <w:szCs w:val="20"/>
          <w:lang w:bidi="ar-SA" w:eastAsia="ru-RU"/>
        </w:rPr>
      </w:pPr>
      <w:r>
        <w:rPr>
          <w:b/>
          <w:sz w:val="20"/>
          <w:szCs w:val="20"/>
          <w:lang w:bidi="ar-SA" w:eastAsia="ru-RU"/>
        </w:rPr>
      </w:r>
    </w:p>
    <w:tbl>
      <w:tblPr>
        <w:jc w:val="left"/>
        <w:tblInd w:type="dxa" w:w="-14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32"/>
        <w:gridCol w:w="4819"/>
        <w:gridCol w:w="991"/>
        <w:gridCol w:w="6945"/>
        <w:gridCol w:w="1309"/>
      </w:tblGrid>
      <w:tr>
        <w:trPr>
          <w:trHeight w:hRule="atLeast" w:val="1556"/>
          <w:cantSplit w:val="true"/>
        </w:trPr>
        <w:tc>
          <w:tcPr>
            <w:tcW w:type="dxa" w:w="53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№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Times New Roman"/>
                <w:sz w:val="20"/>
                <w:szCs w:val="20"/>
                <w:lang w:bidi="ar-SA" w:eastAsia="ru-RU"/>
              </w:rPr>
              <w:t>п/п</w:t>
            </w:r>
          </w:p>
        </w:tc>
        <w:tc>
          <w:tcPr>
            <w:tcW w:type="dxa" w:w="4819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Наименование целевых показателей</w:t>
            </w:r>
          </w:p>
        </w:tc>
        <w:tc>
          <w:tcPr>
            <w:tcW w:type="dxa" w:w="99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type="dxa" w:w="6945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Значения показателя по годам</w:t>
            </w:r>
          </w:p>
        </w:tc>
        <w:tc>
          <w:tcPr>
            <w:tcW w:type="dxa" w:w="130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cantSplit w:val="true"/>
        </w:trPr>
        <w:tc>
          <w:tcPr>
            <w:tcW w:type="dxa" w:w="53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4819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9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2019 год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2020 год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2021 год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2022 год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2023 год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2024 год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2025 год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2026-2030 год</w:t>
            </w:r>
          </w:p>
        </w:tc>
        <w:tc>
          <w:tcPr>
            <w:tcW w:type="dxa" w:w="13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  <w:tr>
        <w:trPr>
          <w:cantSplit w:val="false"/>
        </w:trPr>
        <w:tc>
          <w:tcPr>
            <w:tcW w:type="dxa" w:w="5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</w:t>
            </w:r>
          </w:p>
        </w:tc>
        <w:tc>
          <w:tcPr>
            <w:tcW w:type="dxa" w:w="481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5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6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8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11</w:t>
            </w:r>
          </w:p>
        </w:tc>
        <w:tc>
          <w:tcPr>
            <w:tcW w:type="dxa" w:w="13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12</w:t>
            </w:r>
          </w:p>
        </w:tc>
      </w:tr>
      <w:tr>
        <w:trPr>
          <w:cantSplit w:val="false"/>
        </w:trPr>
        <w:tc>
          <w:tcPr>
            <w:tcW w:type="dxa" w:w="5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</w:t>
            </w:r>
          </w:p>
        </w:tc>
        <w:tc>
          <w:tcPr>
            <w:tcW w:type="dxa" w:w="481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/>
              <w:overflowPunct w:val="true"/>
              <w:spacing w:line="100" w:lineRule="atLeast"/>
              <w:jc w:val="both"/>
              <w:rPr>
                <w:rFonts w:cs="Calibri" w:eastAsia="Times New Roman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Уменьшение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объемов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энергопотребления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связи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улучшением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технических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характеристик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энергопотребляющих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устройств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sz w:val="20"/>
                <w:szCs w:val="20"/>
                <w:lang w:bidi="ar-SA" w:eastAsia="en-US"/>
              </w:rPr>
              <w:t xml:space="preserve"> а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дминистрации, %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100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99,0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99,0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98,5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98,0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97,5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97,0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96,5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95,0</w:t>
            </w:r>
          </w:p>
        </w:tc>
        <w:tc>
          <w:tcPr>
            <w:tcW w:type="dxa" w:w="13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95,0</w:t>
            </w:r>
          </w:p>
        </w:tc>
      </w:tr>
      <w:tr>
        <w:trPr>
          <w:cantSplit w:val="false"/>
        </w:trPr>
        <w:tc>
          <w:tcPr>
            <w:tcW w:type="dxa" w:w="5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</w:t>
            </w:r>
          </w:p>
        </w:tc>
        <w:tc>
          <w:tcPr>
            <w:tcW w:type="dxa" w:w="481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установленных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ламп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светодиодные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color w:val="000000"/>
                <w:sz w:val="20"/>
                <w:szCs w:val="20"/>
                <w:lang w:bidi="ar-SA" w:eastAsia="en-US"/>
              </w:rPr>
              <w:t xml:space="preserve"> ад</w:t>
            </w:r>
            <w:r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  <w:t>министрации до 80%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3,0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3,0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9,0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15,0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21,0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27,0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33,0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39,0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69,0</w:t>
            </w:r>
          </w:p>
        </w:tc>
        <w:tc>
          <w:tcPr>
            <w:tcW w:type="dxa" w:w="13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69,0</w:t>
            </w:r>
          </w:p>
        </w:tc>
      </w:tr>
      <w:tr>
        <w:trPr>
          <w:cantSplit w:val="false"/>
        </w:trPr>
        <w:tc>
          <w:tcPr>
            <w:tcW w:type="dxa" w:w="53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</w:t>
            </w:r>
          </w:p>
        </w:tc>
        <w:tc>
          <w:tcPr>
            <w:tcW w:type="dxa" w:w="481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Calibri" w:eastAsia="Times New Roman"/>
                <w:sz w:val="20"/>
                <w:szCs w:val="20"/>
                <w:lang w:bidi="ar-SA" w:eastAsia="ru-RU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Модернизация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уличного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освещения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поселения.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уличных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светильников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светодиодные до 45,6%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4,8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8,8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/>
              </w:rPr>
            </w:pPr>
            <w:r>
              <w:rPr>
                <w:rFonts w:cs="Times New Roman"/>
                <w:sz w:val="20"/>
                <w:szCs w:val="20"/>
                <w:lang w:bidi="ar-SA"/>
              </w:rPr>
              <w:t>8,8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8,8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12,9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17,0</w:t>
            </w:r>
          </w:p>
        </w:tc>
        <w:tc>
          <w:tcPr>
            <w:tcW w:type="dxa" w:w="84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21,0</w:t>
            </w:r>
          </w:p>
        </w:tc>
        <w:tc>
          <w:tcPr>
            <w:tcW w:type="dxa" w:w="85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25,2</w:t>
            </w:r>
          </w:p>
        </w:tc>
        <w:tc>
          <w:tcPr>
            <w:tcW w:type="dxa" w:w="99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45,6</w:t>
            </w:r>
          </w:p>
        </w:tc>
        <w:tc>
          <w:tcPr>
            <w:tcW w:type="dxa" w:w="131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45,6</w:t>
            </w:r>
          </w:p>
        </w:tc>
      </w:tr>
    </w:tbl>
    <w:p>
      <w:pPr>
        <w:pStyle w:val="style0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</w:r>
    </w:p>
    <w:p>
      <w:pPr>
        <w:pStyle w:val="style0"/>
        <w:jc w:val="right"/>
        <w:rPr>
          <w:rFonts w:cs="Times New Roman"/>
          <w:sz w:val="20"/>
          <w:szCs w:val="20"/>
          <w:lang w:bidi="ar-SA" w:eastAsia="ru-RU"/>
        </w:rPr>
      </w:pPr>
      <w:r>
        <w:rPr>
          <w:rFonts w:cs="Times New Roman"/>
          <w:sz w:val="20"/>
          <w:szCs w:val="20"/>
          <w:lang w:bidi="ar-SA" w:eastAsia="ru-RU"/>
        </w:rPr>
        <w:t>Таблица 2</w:t>
      </w:r>
    </w:p>
    <w:p>
      <w:pPr>
        <w:pStyle w:val="style0"/>
        <w:jc w:val="center"/>
        <w:rPr>
          <w:rFonts w:cs="Times New Roman"/>
          <w:b/>
          <w:lang w:bidi="ar-SA" w:eastAsia="ru-RU"/>
        </w:rPr>
      </w:pPr>
      <w:r>
        <w:rPr>
          <w:rFonts w:cs="Times New Roman"/>
          <w:b/>
          <w:lang w:bidi="ar-SA" w:eastAsia="ru-RU"/>
        </w:rPr>
        <w:t>Перечень основных мероприятий муниципальной программы</w:t>
      </w:r>
    </w:p>
    <w:p>
      <w:pPr>
        <w:pStyle w:val="style0"/>
        <w:rPr>
          <w:rFonts w:cs="Times New Roman"/>
          <w:b/>
          <w:sz w:val="20"/>
          <w:szCs w:val="20"/>
          <w:lang w:bidi="ar-SA" w:eastAsia="ru-RU"/>
        </w:rPr>
      </w:pPr>
      <w:r>
        <w:rPr>
          <w:rFonts w:cs="Times New Roman"/>
          <w:b/>
          <w:sz w:val="20"/>
          <w:szCs w:val="20"/>
          <w:lang w:bidi="ar-SA" w:eastAsia="ru-RU"/>
        </w:rPr>
      </w:r>
    </w:p>
    <w:tbl>
      <w:tblPr>
        <w:jc w:val="left"/>
        <w:tblInd w:type="dxa" w:w="-900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850"/>
        <w:gridCol w:w="2977"/>
        <w:gridCol w:w="1983"/>
        <w:gridCol w:w="1844"/>
        <w:gridCol w:w="8160"/>
      </w:tblGrid>
      <w:tr>
        <w:trPr>
          <w:trHeight w:hRule="atLeast" w:val="382"/>
          <w:cantSplit w:val="true"/>
        </w:trPr>
        <w:tc>
          <w:tcPr>
            <w:tcW w:type="dxa" w:w="85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№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Times New Roman"/>
                <w:sz w:val="20"/>
                <w:szCs w:val="20"/>
                <w:lang w:bidi="ar-SA" w:eastAsia="ru-RU"/>
              </w:rPr>
              <w:t>п/п</w:t>
            </w:r>
          </w:p>
        </w:tc>
        <w:tc>
          <w:tcPr>
            <w:tcW w:type="dxa" w:w="29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type="dxa" w:w="198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Ответственный исполнитель/</w:t>
              <w:br/>
              <w:t>соисполнитель</w:t>
            </w:r>
          </w:p>
        </w:tc>
        <w:tc>
          <w:tcPr>
            <w:tcW w:type="dxa" w:w="1844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Источники финансирования</w:t>
            </w:r>
          </w:p>
        </w:tc>
        <w:tc>
          <w:tcPr>
            <w:tcW w:type="dxa" w:w="8160"/>
            <w:gridSpan w:val="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Финансовые затраты на реализацию (тыс. рублей)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85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90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7170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 том числе:</w:t>
            </w:r>
          </w:p>
        </w:tc>
      </w:tr>
      <w:tr>
        <w:trPr>
          <w:trHeight w:hRule="atLeast" w:val="348"/>
          <w:cantSplit w:val="true"/>
        </w:trPr>
        <w:tc>
          <w:tcPr>
            <w:tcW w:type="dxa" w:w="85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9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2019 год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2020 год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2021 год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2022 год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2023 год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2024 год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2025 год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2026-2030</w:t>
            </w:r>
          </w:p>
        </w:tc>
      </w:tr>
      <w:tr>
        <w:trPr>
          <w:trHeight w:hRule="atLeast" w:val="288"/>
          <w:cantSplit w:val="false"/>
        </w:trPr>
        <w:tc>
          <w:tcPr>
            <w:tcW w:type="dxa" w:w="15814"/>
            <w:gridSpan w:val="1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Задача 1. Улучшение технических характеристик зданий администрации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85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1.1.</w:t>
            </w:r>
          </w:p>
        </w:tc>
        <w:tc>
          <w:tcPr>
            <w:tcW w:type="dxa" w:w="29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Ремонтные работы по внеш-нему контуру зданий и внутрен-них перекрытий (утепление дверных блоков на входе, обеспечение автоматического закрывания дверей, замена оконных блоков) (1)</w:t>
            </w:r>
          </w:p>
        </w:tc>
        <w:tc>
          <w:tcPr>
            <w:tcW w:type="dxa" w:w="198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450,0</w:t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250,0</w:t>
            </w:r>
          </w:p>
        </w:tc>
      </w:tr>
      <w:tr>
        <w:trPr>
          <w:trHeight w:hRule="atLeast" w:val="348"/>
          <w:cantSplit w:val="true"/>
        </w:trPr>
        <w:tc>
          <w:tcPr>
            <w:tcW w:type="dxa" w:w="850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450,0</w:t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250,0</w:t>
            </w:r>
          </w:p>
        </w:tc>
      </w:tr>
      <w:tr>
        <w:trPr>
          <w:trHeight w:hRule="atLeast" w:val="288"/>
          <w:cantSplit w:val="false"/>
        </w:trPr>
        <w:tc>
          <w:tcPr>
            <w:tcW w:type="dxa" w:w="85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29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Итого по задаче 1</w:t>
            </w:r>
          </w:p>
        </w:tc>
        <w:tc>
          <w:tcPr>
            <w:tcW w:type="dxa" w:w="19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450,0</w:t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100,0</w:t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250,0</w:t>
            </w:r>
          </w:p>
        </w:tc>
      </w:tr>
      <w:tr>
        <w:trPr>
          <w:trHeight w:hRule="atLeast" w:val="288"/>
          <w:cantSplit w:val="false"/>
        </w:trPr>
        <w:tc>
          <w:tcPr>
            <w:tcW w:type="dxa" w:w="15814"/>
            <w:gridSpan w:val="1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 xml:space="preserve">Задача 2. Улучшение технических характеристик энергопотребляющих устройств 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850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2.1.</w:t>
            </w:r>
          </w:p>
        </w:tc>
        <w:tc>
          <w:tcPr>
            <w:tcW w:type="dxa" w:w="2977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Замена установленных ламп</w:t>
              <w:br/>
              <w:t>на светодиодные в здании администрации (2)</w:t>
            </w:r>
          </w:p>
        </w:tc>
        <w:tc>
          <w:tcPr>
            <w:tcW w:type="dxa" w:w="198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27,8</w:t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15,8</w:t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5,0</w:t>
            </w:r>
          </w:p>
        </w:tc>
      </w:tr>
      <w:tr>
        <w:trPr>
          <w:trHeight w:hRule="atLeast" w:val="537"/>
          <w:cantSplit w:val="true"/>
        </w:trPr>
        <w:tc>
          <w:tcPr>
            <w:tcW w:type="dxa" w:w="85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27,8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15,8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5,0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850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2.2.</w:t>
            </w:r>
          </w:p>
        </w:tc>
        <w:tc>
          <w:tcPr>
            <w:tcW w:type="dxa" w:w="2977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Химическая очистка внутренних поверхностей нагрева системы отопления (1)</w:t>
              <w:br/>
            </w:r>
          </w:p>
        </w:tc>
        <w:tc>
          <w:tcPr>
            <w:tcW w:type="dxa" w:w="198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</w:tr>
      <w:tr>
        <w:trPr>
          <w:trHeight w:hRule="atLeast" w:val="312"/>
          <w:cantSplit w:val="true"/>
        </w:trPr>
        <w:tc>
          <w:tcPr>
            <w:tcW w:type="dxa" w:w="85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</w:tr>
      <w:tr>
        <w:trPr>
          <w:trHeight w:hRule="atLeast" w:val="495"/>
          <w:cantSplit w:val="true"/>
        </w:trPr>
        <w:tc>
          <w:tcPr>
            <w:tcW w:type="dxa" w:w="850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2.3.</w:t>
            </w:r>
          </w:p>
        </w:tc>
        <w:tc>
          <w:tcPr>
            <w:tcW w:type="dxa" w:w="2977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Модернизация уличного освещения городского поселения. Замена уличных светильников на светодиодные (3)</w:t>
            </w:r>
          </w:p>
        </w:tc>
        <w:tc>
          <w:tcPr>
            <w:tcW w:type="dxa" w:w="198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708,0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148,0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140,0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70,0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350,0</w:t>
            </w:r>
          </w:p>
        </w:tc>
      </w:tr>
      <w:tr>
        <w:trPr>
          <w:trHeight w:hRule="atLeast" w:val="559"/>
          <w:cantSplit w:val="true"/>
        </w:trPr>
        <w:tc>
          <w:tcPr>
            <w:tcW w:type="dxa" w:w="85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708,0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148,0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0,0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140,0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70,0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350,0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850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2977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Итого по задаче 2</w:t>
            </w:r>
          </w:p>
        </w:tc>
        <w:tc>
          <w:tcPr>
            <w:tcW w:type="dxa" w:w="198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735,8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163,8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141,0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71,0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355,0</w:t>
            </w:r>
          </w:p>
        </w:tc>
      </w:tr>
      <w:tr>
        <w:trPr>
          <w:trHeight w:hRule="atLeast" w:val="312"/>
          <w:cantSplit w:val="true"/>
        </w:trPr>
        <w:tc>
          <w:tcPr>
            <w:tcW w:type="dxa" w:w="850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2977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735,8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163,8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141,0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71,0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355,0</w:t>
            </w:r>
          </w:p>
        </w:tc>
      </w:tr>
      <w:tr>
        <w:trPr>
          <w:trHeight w:hRule="atLeast" w:val="288"/>
          <w:cantSplit w:val="true"/>
        </w:trPr>
        <w:tc>
          <w:tcPr>
            <w:tcW w:type="dxa" w:w="3827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 по муниципальной программе:</w:t>
            </w:r>
          </w:p>
        </w:tc>
        <w:tc>
          <w:tcPr>
            <w:tcW w:type="dxa" w:w="198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1185,8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163,8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241,0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171,0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605,0</w:t>
            </w:r>
          </w:p>
        </w:tc>
      </w:tr>
      <w:tr>
        <w:trPr>
          <w:trHeight w:hRule="atLeast" w:val="312"/>
          <w:cantSplit w:val="true"/>
        </w:trPr>
        <w:tc>
          <w:tcPr>
            <w:tcW w:type="dxa" w:w="382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1185,8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163,8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2,0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1,0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241,0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171,0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605,0</w:t>
            </w:r>
          </w:p>
        </w:tc>
      </w:tr>
      <w:tr>
        <w:trPr>
          <w:trHeight w:hRule="atLeast" w:val="288"/>
          <w:cantSplit w:val="false"/>
        </w:trPr>
        <w:tc>
          <w:tcPr>
            <w:tcW w:type="dxa" w:w="382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 том числе:</w:t>
            </w:r>
          </w:p>
        </w:tc>
        <w:tc>
          <w:tcPr>
            <w:tcW w:type="dxa" w:w="19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</w:tr>
      <w:tr>
        <w:trPr>
          <w:trHeight w:hRule="atLeast" w:val="131"/>
          <w:cantSplit w:val="false"/>
        </w:trPr>
        <w:tc>
          <w:tcPr>
            <w:tcW w:type="dxa" w:w="3827"/>
            <w:gridSpan w:val="2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Портфели проектов и проекты, 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type="dxa" w:w="19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Без финансирования</w:t>
            </w:r>
          </w:p>
        </w:tc>
        <w:tc>
          <w:tcPr>
            <w:tcW w:type="dxa" w:w="8160"/>
            <w:gridSpan w:val="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  <w:tr>
        <w:trPr>
          <w:trHeight w:hRule="atLeast" w:val="288"/>
          <w:cantSplit w:val="true"/>
        </w:trPr>
        <w:tc>
          <w:tcPr>
            <w:tcW w:type="dxa" w:w="3827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type="dxa" w:w="198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  <w:tr>
        <w:trPr>
          <w:trHeight w:hRule="atLeast" w:val="528"/>
          <w:cantSplit w:val="true"/>
        </w:trPr>
        <w:tc>
          <w:tcPr>
            <w:tcW w:type="dxa" w:w="382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Без финансирования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  <w:tr>
        <w:trPr>
          <w:trHeight w:hRule="atLeast" w:val="288"/>
          <w:cantSplit w:val="true"/>
        </w:trPr>
        <w:tc>
          <w:tcPr>
            <w:tcW w:type="dxa" w:w="3827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 xml:space="preserve">Прочие расходы </w:t>
            </w:r>
          </w:p>
        </w:tc>
        <w:tc>
          <w:tcPr>
            <w:tcW w:type="dxa" w:w="198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 </w:t>
            </w:r>
          </w:p>
        </w:tc>
        <w:tc>
          <w:tcPr>
            <w:tcW w:type="dxa" w:w="184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Всего</w:t>
            </w:r>
          </w:p>
        </w:tc>
        <w:tc>
          <w:tcPr>
            <w:tcW w:type="dxa" w:w="9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4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7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  <w:tr>
        <w:trPr>
          <w:trHeight w:hRule="atLeast" w:val="528"/>
          <w:cantSplit w:val="true"/>
        </w:trPr>
        <w:tc>
          <w:tcPr>
            <w:tcW w:type="dxa" w:w="3827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98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184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Без финансирования</w:t>
            </w:r>
          </w:p>
        </w:tc>
        <w:tc>
          <w:tcPr>
            <w:tcW w:type="dxa" w:w="9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9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4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83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9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878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  <w:tc>
          <w:tcPr>
            <w:tcW w:type="dxa" w:w="975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</w:tc>
      </w:tr>
    </w:tbl>
    <w:p>
      <w:pPr>
        <w:pStyle w:val="style0"/>
        <w:shd w:fill="FFFFFF" w:val="clear"/>
        <w:tabs>
          <w:tab w:leader="none" w:pos="977" w:val="left"/>
        </w:tabs>
        <w:jc w:val="right"/>
        <w:rPr>
          <w:rFonts w:cs="Times New Roman" w:eastAsia="Times New Roman"/>
          <w:sz w:val="20"/>
          <w:szCs w:val="20"/>
          <w:lang w:bidi="ar-SA"/>
        </w:rPr>
      </w:pPr>
      <w:r>
        <w:rPr>
          <w:rFonts w:cs="Times New Roman" w:eastAsia="Times New Roman"/>
          <w:sz w:val="20"/>
          <w:szCs w:val="20"/>
          <w:lang w:bidi="ar-SA"/>
        </w:rPr>
        <w:t>Таблица 3</w:t>
      </w:r>
    </w:p>
    <w:p>
      <w:pPr>
        <w:pStyle w:val="style0"/>
        <w:shd w:fill="FFFFFF" w:val="clear"/>
        <w:tabs>
          <w:tab w:leader="none" w:pos="977" w:val="left"/>
        </w:tabs>
        <w:ind w:firstLine="567" w:left="0" w:right="0"/>
        <w:jc w:val="center"/>
        <w:rPr>
          <w:rFonts w:cs="Times New Roman" w:eastAsia="Times New Roman"/>
          <w:b/>
          <w:color w:val="000000"/>
          <w:lang w:bidi="ar-SA"/>
        </w:rPr>
      </w:pPr>
      <w:r>
        <w:rPr>
          <w:rFonts w:cs="Times New Roman" w:eastAsia="Times New Roman"/>
          <w:b/>
          <w:color w:val="000000"/>
          <w:lang w:bidi="ar-SA"/>
        </w:rPr>
        <w:t>Характеристика основных мероприятий муниципальной программы, их связь с целевыми показателями</w:t>
      </w:r>
    </w:p>
    <w:p>
      <w:pPr>
        <w:pStyle w:val="style0"/>
        <w:shd w:fill="FFFFFF" w:val="clear"/>
        <w:tabs>
          <w:tab w:leader="none" w:pos="977" w:val="left"/>
        </w:tabs>
        <w:ind w:firstLine="567" w:left="0" w:right="0"/>
        <w:jc w:val="center"/>
        <w:rPr>
          <w:rFonts w:cs="Times New Roman" w:eastAsia="Times New Roman"/>
          <w:b/>
          <w:color w:val="000000"/>
          <w:sz w:val="20"/>
          <w:szCs w:val="20"/>
          <w:lang w:bidi="ar-SA"/>
        </w:rPr>
      </w:pPr>
      <w:r>
        <w:rPr>
          <w:rFonts w:cs="Times New Roman" w:eastAsia="Times New Roman"/>
          <w:b/>
          <w:color w:val="000000"/>
          <w:sz w:val="20"/>
          <w:szCs w:val="20"/>
          <w:lang w:bidi="ar-SA"/>
        </w:rPr>
      </w:r>
    </w:p>
    <w:tbl>
      <w:tblPr>
        <w:jc w:val="left"/>
        <w:tblInd w:type="dxa" w:w="55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val="nil"/>
          <w:insideV w:val="nil"/>
        </w:tblBorders>
        <w:tblCellMar>
          <w:top w:type="dxa" w:w="55"/>
          <w:left w:type="dxa" w:w="54"/>
          <w:bottom w:type="dxa" w:w="55"/>
          <w:right w:type="dxa" w:w="55"/>
        </w:tblCellMar>
      </w:tblPr>
      <w:tblGrid>
        <w:gridCol w:w="672"/>
        <w:gridCol w:w="9921"/>
        <w:gridCol w:w="3995"/>
      </w:tblGrid>
      <w:tr>
        <w:trPr>
          <w:cantSplit w:val="true"/>
        </w:trPr>
        <w:tc>
          <w:tcPr>
            <w:tcW w:type="dxa" w:w="672"/>
            <w:vMerge w:val="restart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 xml:space="preserve">№ </w:t>
            </w:r>
            <w:r>
              <w:rPr>
                <w:rFonts w:cs="Times New Roman" w:eastAsia="Times New Roman"/>
                <w:sz w:val="20"/>
                <w:szCs w:val="20"/>
                <w:lang w:bidi="ar-SA"/>
              </w:rPr>
              <w:t>п/п</w:t>
            </w:r>
          </w:p>
        </w:tc>
        <w:tc>
          <w:tcPr>
            <w:tcW w:type="dxa" w:w="9921"/>
            <w:gridSpan w:val="3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Основные мероприятия</w:t>
            </w:r>
          </w:p>
        </w:tc>
        <w:tc>
          <w:tcPr>
            <w:tcW w:type="dxa" w:w="3995"/>
            <w:vMerge w:val="restart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Наименование целевого показателя</w:t>
            </w:r>
          </w:p>
        </w:tc>
      </w:tr>
      <w:tr>
        <w:trPr>
          <w:cantSplit w:val="true"/>
        </w:trPr>
        <w:tc>
          <w:tcPr>
            <w:tcW w:type="dxa" w:w="672"/>
            <w:vMerge w:val="continue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  <w:tc>
          <w:tcPr>
            <w:tcW w:type="dxa" w:w="339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Наименование</w:t>
            </w:r>
          </w:p>
        </w:tc>
        <w:tc>
          <w:tcPr>
            <w:tcW w:type="dxa" w:w="245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Содержание (направления расходов)</w:t>
            </w:r>
          </w:p>
        </w:tc>
        <w:tc>
          <w:tcPr>
            <w:tcW w:type="dxa" w:w="4067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type="dxa" w:w="3996"/>
            <w:vMerge w:val="continue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</w:tr>
      <w:tr>
        <w:trPr>
          <w:cantSplit w:val="false"/>
        </w:trPr>
        <w:tc>
          <w:tcPr>
            <w:tcW w:type="dxa" w:w="6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1</w:t>
            </w:r>
          </w:p>
        </w:tc>
        <w:tc>
          <w:tcPr>
            <w:tcW w:type="dxa" w:w="339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2</w:t>
            </w:r>
          </w:p>
        </w:tc>
        <w:tc>
          <w:tcPr>
            <w:tcW w:type="dxa" w:w="245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3</w:t>
            </w:r>
          </w:p>
        </w:tc>
        <w:tc>
          <w:tcPr>
            <w:tcW w:type="dxa" w:w="4067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4</w:t>
            </w:r>
          </w:p>
        </w:tc>
        <w:tc>
          <w:tcPr>
            <w:tcW w:type="dxa" w:w="3996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5</w:t>
            </w:r>
          </w:p>
        </w:tc>
      </w:tr>
      <w:tr>
        <w:trPr>
          <w:cantSplit w:val="false"/>
        </w:trPr>
        <w:tc>
          <w:tcPr>
            <w:tcW w:type="dxa" w:w="14588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Цель Повышение эффективности использования топливно-энергетических ресурсов</w:t>
            </w:r>
          </w:p>
        </w:tc>
      </w:tr>
      <w:tr>
        <w:trPr>
          <w:cantSplit w:val="false"/>
        </w:trPr>
        <w:tc>
          <w:tcPr>
            <w:tcW w:type="dxa" w:w="14588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 xml:space="preserve">Задача 1. </w:t>
            </w:r>
            <w:r>
              <w:rPr>
                <w:rFonts w:cs="Times New Roman"/>
                <w:sz w:val="20"/>
                <w:szCs w:val="20"/>
                <w:lang w:bidi="ar-SA" w:eastAsia="ru-RU"/>
              </w:rPr>
              <w:t>Улучшение технических характеристик зданий администрации</w:t>
            </w:r>
          </w:p>
        </w:tc>
      </w:tr>
      <w:tr>
        <w:trPr>
          <w:trHeight w:hRule="atLeast" w:val="2390"/>
          <w:cantSplit w:val="false"/>
        </w:trPr>
        <w:tc>
          <w:tcPr>
            <w:tcW w:type="dxa" w:w="6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1.1.</w:t>
            </w:r>
          </w:p>
        </w:tc>
        <w:tc>
          <w:tcPr>
            <w:tcW w:type="dxa" w:w="339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Ремонтные работы по внешнему контуру зданий и внутренних перекрытий</w:t>
            </w:r>
          </w:p>
        </w:tc>
        <w:tc>
          <w:tcPr>
            <w:tcW w:type="dxa" w:w="245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 xml:space="preserve">Оплата за </w:t>
            </w:r>
            <w:r>
              <w:rPr>
                <w:rFonts w:cs="Times New Roman"/>
                <w:sz w:val="20"/>
                <w:szCs w:val="20"/>
                <w:lang w:bidi="ar-SA" w:eastAsia="ru-RU"/>
              </w:rPr>
              <w:t>утепление дверных блоков на входе, обеспечение автоматического закрывания дверей, замена оконных блоков</w:t>
            </w:r>
          </w:p>
        </w:tc>
        <w:tc>
          <w:tcPr>
            <w:tcW w:type="dxa" w:w="4067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suppressAutoHyphens w:val="false"/>
              <w:rPr>
                <w:rFonts w:cs="Times New Roman" w:eastAsia="Times New Roman"/>
                <w:color w:val="000000"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color w:val="000000"/>
                <w:sz w:val="20"/>
                <w:szCs w:val="20"/>
                <w:lang w:bidi="ar-SA"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>
            <w:pPr>
              <w:pStyle w:val="style0"/>
              <w:widowControl/>
              <w:suppressAutoHyphens w:val="false"/>
              <w:jc w:val="center"/>
              <w:rPr>
                <w:rFonts w:cs="Times New Roman" w:eastAsia="Times New Roman"/>
                <w:bCs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bCs/>
                <w:sz w:val="20"/>
                <w:szCs w:val="20"/>
                <w:lang w:bidi="ar-SA" w:eastAsia="ru-RU"/>
              </w:rPr>
              <w:t>Федеральный закон "Об энергосбережении и о повышении энергетической эффективности, и о внесении изменений в отдельные законодательные акты Российской Федерации" от 23.11.2009 N 261-ФЗ</w:t>
            </w:r>
          </w:p>
        </w:tc>
        <w:tc>
          <w:tcPr>
            <w:tcW w:type="dxa" w:w="3996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shd w:fill="FFFFFF" w:val="clear"/>
              <w:jc w:val="both"/>
              <w:rPr>
                <w:rFonts w:cs="Calibri" w:eastAsia="Times New Roman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Уменьшение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объемов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энергопотребления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связи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улучшением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технических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характеристик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энергопотребляющих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устройств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sz w:val="20"/>
                <w:szCs w:val="20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администрации</w:t>
            </w:r>
          </w:p>
        </w:tc>
      </w:tr>
      <w:tr>
        <w:trPr>
          <w:cantSplit w:val="false"/>
        </w:trPr>
        <w:tc>
          <w:tcPr>
            <w:tcW w:type="dxa" w:w="14588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color w:val="000000"/>
                <w:sz w:val="20"/>
                <w:szCs w:val="20"/>
                <w:lang w:bidi="ar-SA"/>
              </w:rPr>
              <w:t xml:space="preserve">Задача 2. </w:t>
            </w:r>
            <w:r>
              <w:rPr>
                <w:rFonts w:cs="Times New Roman"/>
                <w:sz w:val="20"/>
                <w:szCs w:val="20"/>
                <w:lang w:bidi="ar-SA" w:eastAsia="ru-RU"/>
              </w:rPr>
              <w:t>Улучшение технических характеристик энергопотребляющих устройств</w:t>
            </w:r>
          </w:p>
        </w:tc>
      </w:tr>
      <w:tr>
        <w:trPr>
          <w:cantSplit w:val="false"/>
        </w:trPr>
        <w:tc>
          <w:tcPr>
            <w:tcW w:type="dxa" w:w="6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2.1.</w:t>
            </w:r>
          </w:p>
        </w:tc>
        <w:tc>
          <w:tcPr>
            <w:tcW w:type="dxa" w:w="339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Замена установленных ламп на светодиодные в здании администрации</w:t>
            </w:r>
          </w:p>
        </w:tc>
        <w:tc>
          <w:tcPr>
            <w:tcW w:type="dxa" w:w="245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Замена установленных</w:t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электрических ламп на светодиодные</w:t>
            </w:r>
          </w:p>
          <w:p>
            <w:pPr>
              <w:pStyle w:val="style0"/>
              <w:suppressLineNumbers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</w:tc>
        <w:tc>
          <w:tcPr>
            <w:tcW w:type="dxa" w:w="4067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keepNext/>
              <w:widowControl/>
              <w:jc w:val="center"/>
              <w:rPr>
                <w:rFonts w:cs="Times New Roman" w:eastAsia="Times New Roman"/>
                <w:color w:val="000000"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color w:val="000000"/>
                <w:sz w:val="20"/>
                <w:szCs w:val="20"/>
                <w:lang w:bidi="ar-SA"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</w:tc>
        <w:tc>
          <w:tcPr>
            <w:tcW w:type="dxa" w:w="3996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shd w:fill="FFFFFF" w:val="clear"/>
              <w:jc w:val="both"/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установленных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ламп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светодиодные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color w:val="000000"/>
                <w:sz w:val="20"/>
                <w:szCs w:val="20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color w:val="000000"/>
                <w:sz w:val="20"/>
                <w:szCs w:val="20"/>
                <w:lang w:bidi="ar-SA" w:eastAsia="en-US"/>
              </w:rPr>
              <w:t>администрации</w:t>
            </w:r>
          </w:p>
        </w:tc>
      </w:tr>
      <w:tr>
        <w:trPr>
          <w:trHeight w:hRule="atLeast" w:val="1779"/>
          <w:cantSplit w:val="false"/>
        </w:trPr>
        <w:tc>
          <w:tcPr>
            <w:tcW w:type="dxa" w:w="6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2.2.</w:t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2.3.</w:t>
            </w:r>
          </w:p>
        </w:tc>
        <w:tc>
          <w:tcPr>
            <w:tcW w:type="dxa" w:w="339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Химическая очистка внутренних поверхностей нагрева системы отопления</w:t>
            </w:r>
          </w:p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</w:r>
          </w:p>
          <w:p>
            <w:pPr>
              <w:pStyle w:val="style0"/>
              <w:widowControl/>
              <w:jc w:val="both"/>
              <w:rPr>
                <w:rFonts w:cs="Times New Roman"/>
                <w:sz w:val="20"/>
                <w:szCs w:val="20"/>
                <w:lang w:bidi="ar-SA" w:eastAsia="ru-RU"/>
              </w:rPr>
            </w:pPr>
            <w:r>
              <w:rPr>
                <w:rFonts w:cs="Times New Roman"/>
                <w:sz w:val="20"/>
                <w:szCs w:val="20"/>
                <w:lang w:bidi="ar-SA" w:eastAsia="ru-RU"/>
              </w:rPr>
              <w:t>Модернизация уличного освещения городского поселения. Замена уличных светильников на светодиодные</w:t>
            </w:r>
          </w:p>
        </w:tc>
        <w:tc>
          <w:tcPr>
            <w:tcW w:type="dxa" w:w="245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Проведение ревизии (очистки) системы отопления в здании</w:t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</w:r>
          </w:p>
          <w:p>
            <w:pPr>
              <w:pStyle w:val="style0"/>
              <w:suppressLineNumbers/>
              <w:jc w:val="center"/>
              <w:rPr>
                <w:rFonts w:cs="Times New Roman" w:eastAsia="Times New Roman"/>
                <w:sz w:val="20"/>
                <w:szCs w:val="20"/>
                <w:lang w:bidi="ar-SA"/>
              </w:rPr>
            </w:pPr>
            <w:r>
              <w:rPr>
                <w:rFonts w:cs="Times New Roman" w:eastAsia="Times New Roman"/>
                <w:sz w:val="20"/>
                <w:szCs w:val="20"/>
                <w:lang w:bidi="ar-SA"/>
              </w:rPr>
              <w:t>Замена уличных светильников на светодиодные</w:t>
            </w:r>
          </w:p>
        </w:tc>
        <w:tc>
          <w:tcPr>
            <w:tcW w:type="dxa" w:w="4067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keepNext/>
              <w:widowControl/>
              <w:jc w:val="center"/>
              <w:rPr>
                <w:rFonts w:cs="Times New Roman" w:eastAsia="Times New Roman"/>
                <w:bCs/>
                <w:sz w:val="20"/>
                <w:szCs w:val="20"/>
                <w:lang w:bidi="ar-SA" w:eastAsia="ru-RU"/>
              </w:rPr>
            </w:pPr>
            <w:r>
              <w:rPr>
                <w:rFonts w:cs="Times New Roman" w:eastAsia="Times New Roman"/>
                <w:bCs/>
                <w:sz w:val="20"/>
                <w:szCs w:val="20"/>
                <w:lang w:bidi="ar-SA" w:eastAsia="ru-RU"/>
              </w:rPr>
              <w:t>Федеральный закон "Об энергосбережении и о повышении энергетической эффективности, и о внесении изменений в отдельные законодательные акты Российской Федерации" от 23.11.2009 N 261-ФЗ</w:t>
            </w:r>
          </w:p>
        </w:tc>
        <w:tc>
          <w:tcPr>
            <w:tcW w:type="dxa" w:w="3996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4"/>
            </w:tcMar>
          </w:tcPr>
          <w:p>
            <w:pPr>
              <w:pStyle w:val="style0"/>
              <w:widowControl/>
              <w:shd w:fill="FFFFFF" w:val="clear"/>
              <w:jc w:val="both"/>
              <w:rPr>
                <w:rFonts w:cs="Calibri" w:eastAsia="Times New Roman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Уменьшение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объемов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энергопотребления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связи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улучшением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технических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характеристик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энергопотребляющих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устройств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здании</w:t>
            </w:r>
            <w:r>
              <w:rPr>
                <w:rFonts w:cs="Times New Roman" w:eastAsia="Times New Roman"/>
                <w:sz w:val="20"/>
                <w:szCs w:val="20"/>
                <w:lang w:bidi="ar-SA" w:eastAsia="en-US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  <w:t>администрации</w:t>
            </w:r>
          </w:p>
          <w:p>
            <w:pPr>
              <w:pStyle w:val="style0"/>
              <w:widowControl/>
              <w:shd w:fill="FFFFFF" w:val="clear"/>
              <w:jc w:val="both"/>
              <w:rPr>
                <w:rFonts w:cs="Calibri" w:eastAsia="Times New Roman"/>
                <w:sz w:val="20"/>
                <w:szCs w:val="20"/>
                <w:lang w:bidi="ar-SA" w:eastAsia="en-US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en-US"/>
              </w:rPr>
            </w:r>
          </w:p>
          <w:p>
            <w:pPr>
              <w:pStyle w:val="style0"/>
              <w:widowControl/>
              <w:shd w:fill="FFFFFF" w:val="clear"/>
              <w:jc w:val="both"/>
              <w:rPr>
                <w:rFonts w:cs="Calibri" w:eastAsia="Times New Roman"/>
                <w:sz w:val="20"/>
                <w:szCs w:val="20"/>
                <w:lang w:bidi="ar-SA" w:eastAsia="ru-RU"/>
              </w:rPr>
            </w:pP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Модернизация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уличного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освещения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поселения.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Замена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уличных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светильников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на</w:t>
            </w:r>
            <w:r>
              <w:rPr>
                <w:rFonts w:cs="Times New Roman" w:eastAsia="Times New Roman"/>
                <w:sz w:val="20"/>
                <w:szCs w:val="20"/>
                <w:lang w:bidi="ar-SA" w:eastAsia="ru-RU"/>
              </w:rPr>
              <w:t xml:space="preserve"> </w:t>
            </w:r>
            <w:r>
              <w:rPr>
                <w:rFonts w:cs="Calibri" w:eastAsia="Times New Roman"/>
                <w:sz w:val="20"/>
                <w:szCs w:val="20"/>
                <w:lang w:bidi="ar-SA" w:eastAsia="ru-RU"/>
              </w:rPr>
              <w:t>светодиодные</w:t>
            </w:r>
          </w:p>
        </w:tc>
      </w:tr>
    </w:tbl>
    <w:p>
      <w:pPr>
        <w:pStyle w:val="style0"/>
        <w:widowControl/>
        <w:rPr>
          <w:rFonts w:cs="Times New Roman" w:eastAsia="Times New Roman"/>
          <w:sz w:val="20"/>
          <w:szCs w:val="20"/>
          <w:lang w:bidi="ar-SA"/>
        </w:rPr>
      </w:pPr>
      <w:r>
        <w:rPr>
          <w:rFonts w:cs="Times New Roman" w:eastAsia="Times New Roman"/>
          <w:sz w:val="20"/>
          <w:szCs w:val="20"/>
          <w:lang w:bidi="ar-SA"/>
        </w:rPr>
      </w:r>
    </w:p>
    <w:p>
      <w:pPr>
        <w:pStyle w:val="style0"/>
        <w:widowControl/>
        <w:rPr>
          <w:rFonts w:cs="Times New Roman" w:eastAsia="Times New Roman"/>
          <w:spacing w:val="1"/>
          <w:sz w:val="20"/>
          <w:szCs w:val="20"/>
          <w:lang w:bidi="ar-SA"/>
        </w:rPr>
      </w:pPr>
      <w:r>
        <w:rPr>
          <w:rFonts w:cs="Times New Roman" w:eastAsia="Times New Roman"/>
          <w:spacing w:val="1"/>
          <w:sz w:val="20"/>
          <w:szCs w:val="20"/>
          <w:lang w:bidi="ar-SA"/>
        </w:rPr>
      </w:r>
    </w:p>
    <w:p>
      <w:pPr>
        <w:pStyle w:val="style0"/>
        <w:widowControl/>
        <w:jc w:val="right"/>
        <w:rPr/>
      </w:pPr>
      <w:r>
        <w:rPr/>
      </w:r>
    </w:p>
    <w:sectPr>
      <w:type w:val="nextPage"/>
      <w:pgSz w:h="11906" w:orient="landscape" w:w="16838"/>
      <w:pgMar w:bottom="1134" w:footer="0" w:gutter="0" w:header="0" w:left="1701" w:right="851" w:top="1134"/>
      <w:pgNumType w:fmt="decimal"/>
      <w:formProt w:val="false"/>
      <w:textDirection w:val="lrTb"/>
      <w:docGrid w:charSpace="0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cc"/>
    <w:family w:val="roman"/>
    <w:pitch w:val="variable"/>
  </w:font>
  <w:font w:name="Arial">
    <w:charset w:val="cc"/>
    <w:family w:val="roman"/>
    <w:pitch w:val="variable"/>
  </w:font>
  <w:font w:name="font274">
    <w:charset w:val="cc"/>
    <w:family w:val="roman"/>
    <w:pitch w:val="variable"/>
  </w:font>
  <w:font w:name="Constantia">
    <w:charset w:val="cc"/>
    <w:family w:val="roman"/>
    <w:pitch w:val="variable"/>
  </w:font>
</w:fonts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0" w:left="0"/>
      </w:pPr>
    </w:lvl>
    <w:lvl w:ilvl="4">
      <w:start w:val="1"/>
      <w:numFmt w:val="none"/>
      <w:suff w:val="nothing"/>
      <w:lvlText w:val=""/>
      <w:lvlJc w:val="left"/>
      <w:pPr>
        <w:ind w:hanging="0" w:left="0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0" w:left="0"/>
      </w:pPr>
    </w:lvl>
    <w:lvl w:ilvl="7">
      <w:start w:val="1"/>
      <w:numFmt w:val="none"/>
      <w:suff w:val="nothing"/>
      <w:lvlText w:val=""/>
      <w:lvlJc w:val="left"/>
      <w:pPr>
        <w:ind w:hanging="0" w:left="0"/>
      </w:pPr>
    </w:lvl>
    <w:lvl w:ilvl="8">
      <w:start w:val="1"/>
      <w:numFmt w:val="none"/>
      <w:suff w:val="nothing"/>
      <w:lvlText w:val=""/>
      <w:lvlJc w:val="left"/>
      <w:pPr>
        <w:ind w:hanging="0" w:left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9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 w:val="false"/>
      <w:suppressAutoHyphens w:val="true"/>
    </w:pPr>
    <w:rPr>
      <w:rFonts w:ascii="Times New Roman" w:cs="Mangal" w:eastAsia="Arial Unicode MS" w:hAnsi="Times New Roman"/>
      <w:color w:val="auto"/>
      <w:sz w:val="24"/>
      <w:szCs w:val="24"/>
      <w:lang w:bidi="hi-IN" w:eastAsia="zh-CN" w:val="ru-RU"/>
    </w:rPr>
  </w:style>
  <w:style w:styleId="style1" w:type="paragraph">
    <w:name w:val="Заголовок 1"/>
    <w:basedOn w:val="style91"/>
    <w:next w:val="style1"/>
    <w:pPr>
      <w:numPr>
        <w:ilvl w:val="0"/>
        <w:numId w:val="1"/>
      </w:numPr>
    </w:pPr>
    <w:rPr>
      <w:b/>
      <w:bCs/>
      <w:sz w:val="32"/>
      <w:szCs w:val="32"/>
    </w:rPr>
  </w:style>
  <w:style w:styleId="style2" w:type="paragraph">
    <w:name w:val="Заголовок 2"/>
    <w:basedOn w:val="style91"/>
    <w:next w:val="style2"/>
    <w:pPr>
      <w:numPr>
        <w:ilvl w:val="0"/>
        <w:numId w:val="1"/>
      </w:numPr>
    </w:pPr>
    <w:rPr>
      <w:b/>
      <w:bCs/>
      <w:i/>
      <w:iCs/>
    </w:rPr>
  </w:style>
  <w:style w:styleId="style3" w:type="paragraph">
    <w:name w:val="Заголовок 3"/>
    <w:basedOn w:val="style91"/>
    <w:next w:val="style3"/>
    <w:pPr>
      <w:numPr>
        <w:ilvl w:val="0"/>
        <w:numId w:val="1"/>
      </w:numPr>
    </w:pPr>
    <w:rPr>
      <w:b/>
      <w:bCs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Основной шрифт абзаца6"/>
    <w:next w:val="style25"/>
    <w:rPr/>
  </w:style>
  <w:style w:styleId="style26" w:type="character">
    <w:name w:val="Основной шрифт абзаца5"/>
    <w:next w:val="style26"/>
    <w:rPr/>
  </w:style>
  <w:style w:styleId="style27" w:type="character">
    <w:name w:val="WW8Num2z0"/>
    <w:next w:val="style27"/>
    <w:rPr/>
  </w:style>
  <w:style w:styleId="style28" w:type="character">
    <w:name w:val="WW8Num2z1"/>
    <w:next w:val="style28"/>
    <w:rPr/>
  </w:style>
  <w:style w:styleId="style29" w:type="character">
    <w:name w:val="WW8Num2z2"/>
    <w:next w:val="style29"/>
    <w:rPr/>
  </w:style>
  <w:style w:styleId="style30" w:type="character">
    <w:name w:val="WW8Num2z3"/>
    <w:next w:val="style30"/>
    <w:rPr/>
  </w:style>
  <w:style w:styleId="style31" w:type="character">
    <w:name w:val="WW8Num2z4"/>
    <w:next w:val="style31"/>
    <w:rPr/>
  </w:style>
  <w:style w:styleId="style32" w:type="character">
    <w:name w:val="WW8Num2z5"/>
    <w:next w:val="style32"/>
    <w:rPr/>
  </w:style>
  <w:style w:styleId="style33" w:type="character">
    <w:name w:val="WW8Num2z6"/>
    <w:next w:val="style33"/>
    <w:rPr/>
  </w:style>
  <w:style w:styleId="style34" w:type="character">
    <w:name w:val="WW8Num2z7"/>
    <w:next w:val="style34"/>
    <w:rPr/>
  </w:style>
  <w:style w:styleId="style35" w:type="character">
    <w:name w:val="WW8Num2z8"/>
    <w:next w:val="style35"/>
    <w:rPr/>
  </w:style>
  <w:style w:styleId="style36" w:type="character">
    <w:name w:val="Основной шрифт абзаца4"/>
    <w:next w:val="style36"/>
    <w:rPr/>
  </w:style>
  <w:style w:styleId="style37" w:type="character">
    <w:name w:val="Основной шрифт абзаца3"/>
    <w:next w:val="style37"/>
    <w:rPr/>
  </w:style>
  <w:style w:styleId="style38" w:type="character">
    <w:name w:val="WW8Num3z0"/>
    <w:next w:val="style38"/>
    <w:rPr/>
  </w:style>
  <w:style w:styleId="style39" w:type="character">
    <w:name w:val="WW8Num3z1"/>
    <w:next w:val="style39"/>
    <w:rPr/>
  </w:style>
  <w:style w:styleId="style40" w:type="character">
    <w:name w:val="WW8Num3z2"/>
    <w:next w:val="style40"/>
    <w:rPr/>
  </w:style>
  <w:style w:styleId="style41" w:type="character">
    <w:name w:val="WW8Num3z3"/>
    <w:next w:val="style41"/>
    <w:rPr/>
  </w:style>
  <w:style w:styleId="style42" w:type="character">
    <w:name w:val="WW8Num3z4"/>
    <w:next w:val="style42"/>
    <w:rPr/>
  </w:style>
  <w:style w:styleId="style43" w:type="character">
    <w:name w:val="WW8Num3z5"/>
    <w:next w:val="style43"/>
    <w:rPr/>
  </w:style>
  <w:style w:styleId="style44" w:type="character">
    <w:name w:val="WW8Num3z6"/>
    <w:next w:val="style44"/>
    <w:rPr/>
  </w:style>
  <w:style w:styleId="style45" w:type="character">
    <w:name w:val="WW8Num3z7"/>
    <w:next w:val="style45"/>
    <w:rPr/>
  </w:style>
  <w:style w:styleId="style46" w:type="character">
    <w:name w:val="WW8Num3z8"/>
    <w:next w:val="style46"/>
    <w:rPr/>
  </w:style>
  <w:style w:styleId="style47" w:type="character">
    <w:name w:val="WW8Num4z0"/>
    <w:next w:val="style47"/>
    <w:rPr/>
  </w:style>
  <w:style w:styleId="style48" w:type="character">
    <w:name w:val="WW8Num5z0"/>
    <w:next w:val="style48"/>
    <w:rPr/>
  </w:style>
  <w:style w:styleId="style49" w:type="character">
    <w:name w:val="WW8Num6z0"/>
    <w:next w:val="style49"/>
    <w:rPr/>
  </w:style>
  <w:style w:styleId="style50" w:type="character">
    <w:name w:val="WW8Num6z1"/>
    <w:next w:val="style50"/>
    <w:rPr/>
  </w:style>
  <w:style w:styleId="style51" w:type="character">
    <w:name w:val="WW8Num6z2"/>
    <w:next w:val="style51"/>
    <w:rPr/>
  </w:style>
  <w:style w:styleId="style52" w:type="character">
    <w:name w:val="WW8Num6z3"/>
    <w:next w:val="style52"/>
    <w:rPr/>
  </w:style>
  <w:style w:styleId="style53" w:type="character">
    <w:name w:val="WW8Num6z4"/>
    <w:next w:val="style53"/>
    <w:rPr/>
  </w:style>
  <w:style w:styleId="style54" w:type="character">
    <w:name w:val="WW8Num6z5"/>
    <w:next w:val="style54"/>
    <w:rPr/>
  </w:style>
  <w:style w:styleId="style55" w:type="character">
    <w:name w:val="WW8Num6z6"/>
    <w:next w:val="style55"/>
    <w:rPr/>
  </w:style>
  <w:style w:styleId="style56" w:type="character">
    <w:name w:val="WW8Num6z7"/>
    <w:next w:val="style56"/>
    <w:rPr/>
  </w:style>
  <w:style w:styleId="style57" w:type="character">
    <w:name w:val="WW8Num6z8"/>
    <w:next w:val="style57"/>
    <w:rPr/>
  </w:style>
  <w:style w:styleId="style58" w:type="character">
    <w:name w:val="WW8Num7z0"/>
    <w:next w:val="style58"/>
    <w:rPr>
      <w:rFonts w:cs="Mangal" w:eastAsia="Arial Unicode MS"/>
      <w:color w:val="00000A"/>
    </w:rPr>
  </w:style>
  <w:style w:styleId="style59" w:type="character">
    <w:name w:val="WW8Num7z1"/>
    <w:next w:val="style59"/>
    <w:rPr/>
  </w:style>
  <w:style w:styleId="style60" w:type="character">
    <w:name w:val="WW8Num7z2"/>
    <w:next w:val="style60"/>
    <w:rPr/>
  </w:style>
  <w:style w:styleId="style61" w:type="character">
    <w:name w:val="WW8Num7z3"/>
    <w:next w:val="style61"/>
    <w:rPr/>
  </w:style>
  <w:style w:styleId="style62" w:type="character">
    <w:name w:val="WW8Num7z4"/>
    <w:next w:val="style62"/>
    <w:rPr/>
  </w:style>
  <w:style w:styleId="style63" w:type="character">
    <w:name w:val="WW8Num7z5"/>
    <w:next w:val="style63"/>
    <w:rPr/>
  </w:style>
  <w:style w:styleId="style64" w:type="character">
    <w:name w:val="WW8Num7z6"/>
    <w:next w:val="style64"/>
    <w:rPr/>
  </w:style>
  <w:style w:styleId="style65" w:type="character">
    <w:name w:val="WW8Num7z7"/>
    <w:next w:val="style65"/>
    <w:rPr/>
  </w:style>
  <w:style w:styleId="style66" w:type="character">
    <w:name w:val="WW8Num7z8"/>
    <w:next w:val="style66"/>
    <w:rPr/>
  </w:style>
  <w:style w:styleId="style67" w:type="character">
    <w:name w:val="WW8Num8z0"/>
    <w:next w:val="style67"/>
    <w:rPr/>
  </w:style>
  <w:style w:styleId="style68" w:type="character">
    <w:name w:val="WW8Num9z0"/>
    <w:next w:val="style68"/>
    <w:rPr/>
  </w:style>
  <w:style w:styleId="style69" w:type="character">
    <w:name w:val="WW8Num10z0"/>
    <w:next w:val="style69"/>
    <w:rPr/>
  </w:style>
  <w:style w:styleId="style70" w:type="character">
    <w:name w:val="WW8Num11z0"/>
    <w:next w:val="style70"/>
    <w:rPr/>
  </w:style>
  <w:style w:styleId="style71" w:type="character">
    <w:name w:val="WW8Num11z1"/>
    <w:next w:val="style71"/>
    <w:rPr/>
  </w:style>
  <w:style w:styleId="style72" w:type="character">
    <w:name w:val="WW8Num11z2"/>
    <w:next w:val="style72"/>
    <w:rPr/>
  </w:style>
  <w:style w:styleId="style73" w:type="character">
    <w:name w:val="WW8Num11z3"/>
    <w:next w:val="style73"/>
    <w:rPr/>
  </w:style>
  <w:style w:styleId="style74" w:type="character">
    <w:name w:val="WW8Num11z4"/>
    <w:next w:val="style74"/>
    <w:rPr/>
  </w:style>
  <w:style w:styleId="style75" w:type="character">
    <w:name w:val="WW8Num11z5"/>
    <w:next w:val="style75"/>
    <w:rPr/>
  </w:style>
  <w:style w:styleId="style76" w:type="character">
    <w:name w:val="WW8Num11z6"/>
    <w:next w:val="style76"/>
    <w:rPr/>
  </w:style>
  <w:style w:styleId="style77" w:type="character">
    <w:name w:val="WW8Num11z7"/>
    <w:next w:val="style77"/>
    <w:rPr/>
  </w:style>
  <w:style w:styleId="style78" w:type="character">
    <w:name w:val="WW8Num11z8"/>
    <w:next w:val="style78"/>
    <w:rPr/>
  </w:style>
  <w:style w:styleId="style79" w:type="character">
    <w:name w:val="WW8Num12z0"/>
    <w:next w:val="style79"/>
    <w:rPr/>
  </w:style>
  <w:style w:styleId="style80" w:type="character">
    <w:name w:val="Основной шрифт абзаца2"/>
    <w:next w:val="style80"/>
    <w:rPr/>
  </w:style>
  <w:style w:styleId="style81" w:type="character">
    <w:name w:val="Absatz-Standardschriftart"/>
    <w:next w:val="style81"/>
    <w:rPr/>
  </w:style>
  <w:style w:styleId="style82" w:type="character">
    <w:name w:val="WW-Absatz-Standardschriftart"/>
    <w:next w:val="style82"/>
    <w:rPr/>
  </w:style>
  <w:style w:styleId="style83" w:type="character">
    <w:name w:val="Основной шрифт абзаца1"/>
    <w:next w:val="style83"/>
    <w:rPr/>
  </w:style>
  <w:style w:styleId="style84" w:type="character">
    <w:name w:val="WW-Absatz-Standardschriftart1"/>
    <w:next w:val="style84"/>
    <w:rPr/>
  </w:style>
  <w:style w:styleId="style85" w:type="character">
    <w:name w:val="WW-Absatz-Standardschriftart11"/>
    <w:next w:val="style85"/>
    <w:rPr/>
  </w:style>
  <w:style w:styleId="style86" w:type="character">
    <w:name w:val="Верхний колонтитул Знак"/>
    <w:next w:val="style86"/>
    <w:rPr>
      <w:lang w:eastAsia="zh-CN"/>
    </w:rPr>
  </w:style>
  <w:style w:styleId="style87" w:type="character">
    <w:name w:val="Font Style30"/>
    <w:next w:val="style87"/>
    <w:rPr>
      <w:rFonts w:ascii="Times New Roman" w:cs="Times New Roman" w:hAnsi="Times New Roman"/>
      <w:b/>
      <w:bCs/>
      <w:sz w:val="20"/>
      <w:szCs w:val="20"/>
    </w:rPr>
  </w:style>
  <w:style w:styleId="style88" w:type="character">
    <w:name w:val="Интернет-ссылка"/>
    <w:next w:val="style88"/>
    <w:rPr>
      <w:color w:val="0000FF"/>
      <w:u w:val="single"/>
      <w:lang w:bidi="zxx-" w:eastAsia="zxx-" w:val="zxx-"/>
    </w:rPr>
  </w:style>
  <w:style w:styleId="style89" w:type="character">
    <w:name w:val="Текст выноски Знак"/>
    <w:next w:val="style89"/>
    <w:rPr>
      <w:rFonts w:ascii="Tahoma" w:cs="Mangal" w:eastAsia="Arial Unicode MS" w:hAnsi="Tahoma"/>
      <w:sz w:val="16"/>
      <w:szCs w:val="14"/>
      <w:lang w:bidi="hi-IN" w:eastAsia="zh-CN"/>
    </w:rPr>
  </w:style>
  <w:style w:styleId="style90" w:type="character">
    <w:name w:val="Выделение жирным"/>
    <w:next w:val="style90"/>
    <w:rPr>
      <w:b/>
      <w:bCs/>
    </w:rPr>
  </w:style>
  <w:style w:styleId="style91" w:type="paragraph">
    <w:name w:val="Заголовок"/>
    <w:basedOn w:val="style0"/>
    <w:next w:val="style92"/>
    <w:pPr>
      <w:keepNext/>
      <w:spacing w:after="120" w:before="240"/>
      <w:contextualSpacing w:val="false"/>
    </w:pPr>
    <w:rPr>
      <w:rFonts w:ascii="Arial" w:cs="Arial" w:eastAsia="Microsoft YaHei" w:hAnsi="Arial"/>
      <w:sz w:val="28"/>
      <w:szCs w:val="28"/>
    </w:rPr>
  </w:style>
  <w:style w:styleId="style92" w:type="paragraph">
    <w:name w:val="Основной текст"/>
    <w:basedOn w:val="style0"/>
    <w:next w:val="style92"/>
    <w:pPr>
      <w:spacing w:after="120" w:before="0"/>
      <w:contextualSpacing w:val="false"/>
    </w:pPr>
    <w:rPr/>
  </w:style>
  <w:style w:styleId="style93" w:type="paragraph">
    <w:name w:val="Список"/>
    <w:basedOn w:val="style92"/>
    <w:next w:val="style93"/>
    <w:pPr/>
    <w:rPr>
      <w:rFonts w:cs="Mangal"/>
    </w:rPr>
  </w:style>
  <w:style w:styleId="style94" w:type="paragraph">
    <w:name w:val="Название"/>
    <w:basedOn w:val="style0"/>
    <w:next w:val="style9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95" w:type="paragraph">
    <w:name w:val="Указатель"/>
    <w:basedOn w:val="style0"/>
    <w:next w:val="style95"/>
    <w:pPr>
      <w:suppressLineNumbers/>
    </w:pPr>
    <w:rPr>
      <w:rFonts w:cs="Mangal"/>
    </w:rPr>
  </w:style>
  <w:style w:styleId="style96" w:type="paragraph">
    <w:name w:val="caption"/>
    <w:basedOn w:val="style0"/>
    <w:next w:val="style96"/>
    <w:pPr>
      <w:suppressLineNumbers/>
      <w:spacing w:after="120" w:before="120"/>
      <w:contextualSpacing w:val="false"/>
    </w:pPr>
    <w:rPr>
      <w:i/>
      <w:iCs/>
    </w:rPr>
  </w:style>
  <w:style w:styleId="style97" w:type="paragraph">
    <w:name w:val="Указатель7"/>
    <w:basedOn w:val="style0"/>
    <w:next w:val="style97"/>
    <w:pPr>
      <w:suppressLineNumbers/>
    </w:pPr>
    <w:rPr/>
  </w:style>
  <w:style w:styleId="style98" w:type="paragraph">
    <w:name w:val="Название объекта6"/>
    <w:basedOn w:val="style0"/>
    <w:next w:val="style98"/>
    <w:pPr>
      <w:suppressLineNumbers/>
      <w:spacing w:after="120" w:before="120"/>
      <w:contextualSpacing w:val="false"/>
    </w:pPr>
    <w:rPr>
      <w:i/>
      <w:iCs/>
    </w:rPr>
  </w:style>
  <w:style w:styleId="style99" w:type="paragraph">
    <w:name w:val="Указатель6"/>
    <w:basedOn w:val="style0"/>
    <w:next w:val="style99"/>
    <w:pPr>
      <w:suppressLineNumbers/>
    </w:pPr>
    <w:rPr/>
  </w:style>
  <w:style w:styleId="style100" w:type="paragraph">
    <w:name w:val="Название объекта5"/>
    <w:basedOn w:val="style0"/>
    <w:next w:val="style100"/>
    <w:pPr>
      <w:suppressLineNumbers/>
      <w:spacing w:after="120" w:before="120"/>
      <w:contextualSpacing w:val="false"/>
    </w:pPr>
    <w:rPr>
      <w:i/>
      <w:iCs/>
    </w:rPr>
  </w:style>
  <w:style w:styleId="style101" w:type="paragraph">
    <w:name w:val="Указатель5"/>
    <w:basedOn w:val="style0"/>
    <w:next w:val="style101"/>
    <w:pPr>
      <w:suppressLineNumbers/>
    </w:pPr>
    <w:rPr/>
  </w:style>
  <w:style w:styleId="style102" w:type="paragraph">
    <w:name w:val="Название объекта4"/>
    <w:basedOn w:val="style0"/>
    <w:next w:val="style102"/>
    <w:pPr>
      <w:suppressLineNumbers/>
      <w:spacing w:after="120" w:before="120"/>
      <w:contextualSpacing w:val="false"/>
    </w:pPr>
    <w:rPr>
      <w:i/>
      <w:iCs/>
    </w:rPr>
  </w:style>
  <w:style w:styleId="style103" w:type="paragraph">
    <w:name w:val="Указатель4"/>
    <w:basedOn w:val="style0"/>
    <w:next w:val="style103"/>
    <w:pPr>
      <w:suppressLineNumbers/>
    </w:pPr>
    <w:rPr/>
  </w:style>
  <w:style w:styleId="style104" w:type="paragraph">
    <w:name w:val="Название объекта3"/>
    <w:basedOn w:val="style0"/>
    <w:next w:val="style104"/>
    <w:pPr>
      <w:suppressLineNumbers/>
      <w:spacing w:after="120" w:before="120"/>
      <w:contextualSpacing w:val="false"/>
    </w:pPr>
    <w:rPr>
      <w:i/>
      <w:iCs/>
    </w:rPr>
  </w:style>
  <w:style w:styleId="style105" w:type="paragraph">
    <w:name w:val="Указатель3"/>
    <w:basedOn w:val="style0"/>
    <w:next w:val="style105"/>
    <w:pPr>
      <w:suppressLineNumbers/>
    </w:pPr>
    <w:rPr/>
  </w:style>
  <w:style w:styleId="style106" w:type="paragraph">
    <w:name w:val="Название объекта2"/>
    <w:basedOn w:val="style0"/>
    <w:next w:val="style106"/>
    <w:pPr>
      <w:suppressLineNumbers/>
      <w:spacing w:after="120" w:before="120"/>
      <w:contextualSpacing w:val="false"/>
    </w:pPr>
    <w:rPr>
      <w:i/>
      <w:iCs/>
    </w:rPr>
  </w:style>
  <w:style w:styleId="style107" w:type="paragraph">
    <w:name w:val="Указатель2"/>
    <w:basedOn w:val="style0"/>
    <w:next w:val="style107"/>
    <w:pPr>
      <w:suppressLineNumbers/>
    </w:pPr>
    <w:rPr/>
  </w:style>
  <w:style w:styleId="style108" w:type="paragraph">
    <w:name w:val="Название объекта1"/>
    <w:basedOn w:val="style0"/>
    <w:next w:val="style108"/>
    <w:pPr>
      <w:suppressLineNumbers/>
      <w:spacing w:after="120" w:before="120"/>
      <w:contextualSpacing w:val="false"/>
    </w:pPr>
    <w:rPr>
      <w:i/>
      <w:iCs/>
    </w:rPr>
  </w:style>
  <w:style w:styleId="style109" w:type="paragraph">
    <w:name w:val="Указатель1"/>
    <w:basedOn w:val="style0"/>
    <w:next w:val="style109"/>
    <w:pPr>
      <w:suppressLineNumbers/>
    </w:pPr>
    <w:rPr/>
  </w:style>
  <w:style w:styleId="style110" w:type="paragraph">
    <w:name w:val="Основной текст 21"/>
    <w:basedOn w:val="style0"/>
    <w:next w:val="style110"/>
    <w:pPr>
      <w:jc w:val="center"/>
    </w:pPr>
    <w:rPr>
      <w:rFonts w:ascii="Courier New" w:cs="Courier New" w:hAnsi="Courier New"/>
      <w:b/>
      <w:sz w:val="22"/>
    </w:rPr>
  </w:style>
  <w:style w:styleId="style111" w:type="paragraph">
    <w:name w:val="ConsPlusNormal"/>
    <w:next w:val="style111"/>
    <w:pPr>
      <w:widowControl w:val="false"/>
      <w:suppressAutoHyphens w:val="true"/>
      <w:ind w:firstLine="720" w:left="0" w:right="0"/>
    </w:pPr>
    <w:rPr>
      <w:rFonts w:ascii="Arial" w:cs="Arial" w:eastAsia="Arial" w:hAnsi="Arial"/>
      <w:color w:val="auto"/>
      <w:sz w:val="20"/>
      <w:szCs w:val="20"/>
      <w:lang w:bidi="hi-IN" w:eastAsia="zh-CN" w:val="ru-RU"/>
    </w:rPr>
  </w:style>
  <w:style w:styleId="style112" w:type="paragraph">
    <w:name w:val="Основной текст 22"/>
    <w:basedOn w:val="style0"/>
    <w:next w:val="style112"/>
    <w:pPr>
      <w:spacing w:after="120" w:before="0" w:line="480" w:lineRule="auto"/>
      <w:contextualSpacing w:val="false"/>
    </w:pPr>
    <w:rPr/>
  </w:style>
  <w:style w:styleId="style113" w:type="paragraph">
    <w:name w:val="Style10"/>
    <w:basedOn w:val="style0"/>
    <w:next w:val="style113"/>
    <w:pPr>
      <w:spacing w:line="278" w:lineRule="exact"/>
    </w:pPr>
    <w:rPr>
      <w:rFonts w:cs="Times New Roman" w:eastAsia="Times New Roman"/>
      <w:lang w:bidi="ar-SA"/>
    </w:rPr>
  </w:style>
  <w:style w:styleId="style114" w:type="paragraph">
    <w:name w:val="Верхний колонтитул"/>
    <w:basedOn w:val="style0"/>
    <w:next w:val="style114"/>
    <w:pPr>
      <w:widowControl/>
    </w:pPr>
    <w:rPr>
      <w:rFonts w:cs="Times New Roman" w:eastAsia="Times New Roman"/>
      <w:sz w:val="20"/>
      <w:szCs w:val="20"/>
      <w:lang w:bidi="ar-SA"/>
    </w:rPr>
  </w:style>
  <w:style w:styleId="style115" w:type="paragraph">
    <w:name w:val="Style1"/>
    <w:basedOn w:val="style0"/>
    <w:next w:val="style115"/>
    <w:pPr>
      <w:spacing w:line="278" w:lineRule="exact"/>
      <w:ind w:firstLine="701" w:left="0" w:right="0"/>
      <w:jc w:val="both"/>
    </w:pPr>
    <w:rPr>
      <w:rFonts w:cs="Times New Roman" w:eastAsia="Times New Roman"/>
      <w:lang w:bidi="ar-SA"/>
    </w:rPr>
  </w:style>
  <w:style w:styleId="style116" w:type="paragraph">
    <w:name w:val="Normal (Web)"/>
    <w:basedOn w:val="style0"/>
    <w:next w:val="style116"/>
    <w:pPr>
      <w:widowControl/>
      <w:suppressAutoHyphens w:val="false"/>
      <w:spacing w:after="119" w:before="100"/>
      <w:contextualSpacing w:val="false"/>
    </w:pPr>
    <w:rPr>
      <w:rFonts w:cs="Times New Roman" w:eastAsia="Times New Roman"/>
      <w:lang w:bidi="ar-SA"/>
    </w:rPr>
  </w:style>
  <w:style w:styleId="style117" w:type="paragraph">
    <w:name w:val="No Spacing"/>
    <w:next w:val="style117"/>
    <w:pPr>
      <w:widowControl w:val="false"/>
      <w:suppressAutoHyphens w:val="true"/>
    </w:pPr>
    <w:rPr>
      <w:rFonts w:ascii="Times New Roman" w:cs="Mangal" w:eastAsia="Arial Unicode MS" w:hAnsi="Times New Roman"/>
      <w:color w:val="auto"/>
      <w:sz w:val="24"/>
      <w:szCs w:val="21"/>
      <w:lang w:bidi="hi-IN" w:eastAsia="zh-CN" w:val="ru-RU"/>
    </w:rPr>
  </w:style>
  <w:style w:styleId="style118" w:type="paragraph">
    <w:name w:val="„z"/>
    <w:next w:val="style118"/>
    <w:pPr>
      <w:widowControl w:val="false"/>
      <w:suppressAutoHyphens w:val="true"/>
    </w:pPr>
    <w:rPr>
      <w:rFonts w:ascii="font274" w:cs="font274" w:eastAsia="font274" w:hAnsi="font274"/>
      <w:color w:val="auto"/>
      <w:sz w:val="24"/>
      <w:szCs w:val="24"/>
      <w:lang w:bidi="hi-IN" w:eastAsia="zh-CN" w:val="ru-RU"/>
    </w:rPr>
  </w:style>
  <w:style w:styleId="style119" w:type="paragraph">
    <w:name w:val="Balloon Text"/>
    <w:basedOn w:val="style0"/>
    <w:next w:val="style119"/>
    <w:pPr/>
    <w:rPr>
      <w:rFonts w:ascii="Tahoma" w:cs="Tahoma" w:hAnsi="Tahoma"/>
      <w:sz w:val="16"/>
      <w:szCs w:val="14"/>
    </w:rPr>
  </w:style>
  <w:style w:styleId="style120" w:type="paragraph">
    <w:name w:val="Содержимое таблицы"/>
    <w:basedOn w:val="style0"/>
    <w:next w:val="style120"/>
    <w:pPr>
      <w:suppressLineNumbers/>
    </w:pPr>
    <w:rPr/>
  </w:style>
  <w:style w:styleId="style121" w:type="paragraph">
    <w:name w:val="Заголовок таблицы"/>
    <w:basedOn w:val="style120"/>
    <w:next w:val="style121"/>
    <w:pPr>
      <w:jc w:val="center"/>
    </w:pPr>
    <w:rPr>
      <w:b/>
      <w:bCs/>
    </w:rPr>
  </w:style>
  <w:style w:styleId="style122" w:type="paragraph">
    <w:name w:val="Основной текст3"/>
    <w:basedOn w:val="style0"/>
    <w:next w:val="style122"/>
    <w:pPr>
      <w:shd w:fill="FFFFFF" w:val="clear"/>
      <w:spacing w:after="540" w:before="0" w:line="254" w:lineRule="exact"/>
      <w:ind w:hanging="360" w:left="0" w:right="0"/>
      <w:contextualSpacing w:val="false"/>
      <w:jc w:val="center"/>
    </w:pPr>
    <w:rPr>
      <w:rFonts w:cs="Times New Roman" w:eastAsia="Times New Roman"/>
      <w:spacing w:val="1"/>
      <w:sz w:val="21"/>
      <w:szCs w:val="21"/>
      <w:lang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adm@samza.ru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2020-03-16T06:39:00Z</dcterms:created>
  <dc:creator>Пчёлина Т.Ф.</dc:creator>
  <cp:lastModifiedBy>User2</cp:lastModifiedBy>
  <cp:lastPrinted>2021-03-23T10:48:14Z</cp:lastPrinted>
  <dcterms:modified xsi:type="dcterms:W3CDTF">2021-03-19T04:51:00Z</dcterms:modified>
  <cp:revision>7</cp:revision>
  <dc:title>ПОСТАНОВЛЕНИЕ (ПРОЕКТ)</dc:title>
</cp:coreProperties>
</file>