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hanging="0"/>
        <w:jc w:val="right"/>
        <w:rPr>
          <w:rFonts w:ascii="Times New Roman" w:hAnsi="Times New Roman"/>
          <w:sz w:val="20"/>
          <w:szCs w:val="20"/>
        </w:rPr>
      </w:pPr>
      <w:bookmarkStart w:id="0" w:name="_GoBack"/>
      <w:bookmarkEnd w:id="0"/>
      <w:r>
        <w:rPr>
          <w:rFonts w:ascii="Times New Roman" w:hAnsi="Times New Roman"/>
          <w:sz w:val="20"/>
          <w:szCs w:val="20"/>
        </w:rPr>
        <w:t xml:space="preserve">Приложение 1 </w:t>
      </w:r>
    </w:p>
    <w:p>
      <w:pPr>
        <w:pStyle w:val="Normal"/>
        <w:shd w:val="clear" w:color="auto" w:fill="FFFFFF"/>
        <w:ind w:hanging="0"/>
        <w:jc w:val="right"/>
        <w:rPr>
          <w:rFonts w:ascii="Times New Roman" w:hAnsi="Times New Roman"/>
          <w:color w:val="000000"/>
          <w:sz w:val="20"/>
          <w:szCs w:val="20"/>
        </w:rPr>
      </w:pPr>
      <w:r>
        <w:rPr>
          <w:rFonts w:ascii="Times New Roman" w:hAnsi="Times New Roman"/>
          <w:sz w:val="20"/>
          <w:szCs w:val="20"/>
        </w:rPr>
        <w:t xml:space="preserve">к исх.№_________________ от </w:t>
      </w:r>
      <w:r>
        <w:rPr>
          <w:rFonts w:ascii="Times New Roman" w:hAnsi="Times New Roman"/>
          <w:color w:val="000000"/>
          <w:sz w:val="20"/>
          <w:szCs w:val="20"/>
        </w:rPr>
        <w:t xml:space="preserve">________________ </w:t>
      </w:r>
    </w:p>
    <w:p>
      <w:pPr>
        <w:pStyle w:val="Normal"/>
        <w:ind w:hanging="0"/>
        <w:jc w:val="center"/>
        <w:rPr>
          <w:rFonts w:ascii="Times New Roman" w:hAnsi="Times New Roman"/>
          <w:b/>
          <w:b/>
          <w:sz w:val="28"/>
          <w:szCs w:val="28"/>
        </w:rPr>
      </w:pPr>
      <w:r>
        <w:rPr>
          <w:rFonts w:ascii="Times New Roman" w:hAnsi="Times New Roman"/>
          <w:b/>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2023 году (за отчетный 2022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2" w:tgtFrame="consultantplus://offline/ref=57E0B1C8ADAC653FBEA55D1E9049ED91A63B5BC1BDB036D12C5B445229pEa3J">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t>При этом подразделениям по профилактике коррупционных и иных правонарушений</w:t>
      </w:r>
      <w:r>
        <w:rPr>
          <w:rStyle w:val="Annotationreference"/>
          <w:rFonts w:ascii="Times New Roman" w:hAnsi="Times New Roman"/>
          <w:sz w:val="28"/>
          <w:szCs w:val="28"/>
        </w:rPr>
        <w:t xml:space="preserve"> </w:t>
      </w:r>
      <w:r>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8"/>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2"/>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2"/>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tgtFrame="consultantplus://offline/ref=C9E7374AA1332C6CF9FF0059DC9BC42D7E0C4094E90E8D4E87A0DE0B00JBsBL">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2"/>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tgtFrame="consultantplus://offline/ref=176F7DE9F43BBC5D4BD135AAE1CAD04D0FAF9650A130B33DA87DA13E97FAF95DCF18F97FDC1FE2FAH7g2M">
        <w:r>
          <w:rPr/>
          <w:t>перечень</w:t>
        </w:r>
      </w:hyperlink>
      <w:r>
        <w:rPr/>
        <w:t>, утвержденный Советом директоров Центрального банка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3"/>
        </w:numPr>
        <w:tabs>
          <w:tab w:val="clear" w:pos="709"/>
          <w:tab w:val="left" w:pos="0" w:leader="none"/>
          <w:tab w:val="left" w:pos="567"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tgtFrame="consultantplus://offline/ref=3743F552A0D416E80BEAF690826125BB530BB097B6A5A5C17137C1E72FF3E91DCF3284BA9D2A6279g3rBM">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tgtFrame="consultantplus://offline/ref=33E7B6DD529722622844D6F9EBC8DBA03B3FAEDA9118A1613233FFF35FCD6ECFCAED66496D73EC2Di9vDO">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Pr/>
        <w:t xml:space="preserve"> </w:t>
      </w:r>
      <w:r>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ListParagraph"/>
        <w:tabs>
          <w:tab w:val="clear" w:pos="709"/>
          <w:tab w:val="left" w:pos="1134" w:leader="none"/>
        </w:tabs>
        <w:ind w:left="0" w:firstLine="709"/>
        <w:rPr>
          <w:rFonts w:ascii="Times New Roman" w:hAnsi="Times New Roman"/>
          <w:sz w:val="28"/>
          <w:szCs w:val="28"/>
        </w:rPr>
      </w:pPr>
      <w:r>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10 настоящих Методический рекомендаций.</w:t>
      </w:r>
    </w:p>
    <w:p>
      <w:pPr>
        <w:pStyle w:val="ListParagraph"/>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Нерабочий день не является основанием для переноса срока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18 настоящих Методических рекомендаций.</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2023 году </w:t>
              <w:br/>
              <w:t>(за отчетный 2022 г.)</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Брак заключен в ЗАГСе в марте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rPr>
          <w:trHeight w:val="660"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1 февраля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2 августа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ноябре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2023 года </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1 июля 2023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2023 года </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Непредставление Сведений в отношении своей супруги (супруга), указанной в пункте 27 настоящих Методических рекомендаций:</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1) служащим (работником) в ситуациях, предусмотренных пунктом 1 настоящих Методических рекомендаций, не требует направления и соответствующего рассмотрения заявления, предусмотренного пунктом 39 настоящих Методических рекомендаций;</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pPr>
        <w:pStyle w:val="Normal"/>
        <w:tabs>
          <w:tab w:val="clear" w:pos="709"/>
          <w:tab w:val="left" w:pos="1134" w:leader="none"/>
        </w:tabs>
        <w:ind w:hanging="0"/>
        <w:rPr>
          <w:rFonts w:ascii="Times New Roman" w:hAnsi="Times New Roman"/>
          <w:sz w:val="28"/>
          <w:szCs w:val="28"/>
        </w:rPr>
      </w:pPr>
      <w:r>
        <w:rPr>
          <w:rFonts w:ascii="Times New Roman" w:hAnsi="Times New Roman"/>
          <w:sz w:val="28"/>
          <w:szCs w:val="28"/>
        </w:rPr>
      </w:r>
    </w:p>
    <w:p>
      <w:pPr>
        <w:pStyle w:val="ListParagraph"/>
        <w:ind w:left="0"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21 мая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30 декабря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31 декабря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5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 августа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17 августа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223"/>
        <w:gridCol w:w="7124"/>
      </w:tblGrid>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widowControl w:val="false"/>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pPr>
        <w:pStyle w:val="ListParagraph"/>
        <w:ind w:left="0" w:firstLine="567"/>
        <w:rPr>
          <w:rFonts w:ascii="Times New Roman" w:hAnsi="Times New Roman"/>
          <w:sz w:val="28"/>
          <w:szCs w:val="28"/>
          <w:lang w:eastAsia="ru-RU"/>
        </w:rPr>
      </w:pPr>
      <w:r>
        <w:rPr>
          <w:rFonts w:ascii="Times New Roman" w:hAnsi="Times New Roman"/>
          <w:sz w:val="28"/>
          <w:szCs w:val="28"/>
        </w:rPr>
        <w:t xml:space="preserve">Вопросы подачи </w:t>
      </w:r>
      <w:r>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szCs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pPr>
        <w:pStyle w:val="Normal"/>
        <w:ind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ListParagraph"/>
        <w:ind w:left="0" w:firstLine="567"/>
        <w:rPr>
          <w:rFonts w:ascii="Times New Roman" w:hAnsi="Times New Roman"/>
          <w:sz w:val="28"/>
          <w:szCs w:val="28"/>
        </w:rPr>
      </w:pPr>
      <w:r>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9" w:tgtFrame="http://www.kremlin.ru/structure/additional/12">
        <w:r>
          <w:rPr>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tgtFrame="https://gossluzhba.gov.ru/anticorruption/spravki_bk">
        <w:r>
          <w:rPr>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pPr>
        <w:pStyle w:val="ListParagraph"/>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Печатать справки рекомендуется только на одной стороне листа.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1">
        <w:r>
          <w:rPr>
            <w:rFonts w:ascii="Times New Roman" w:hAnsi="Times New Roman"/>
            <w:sz w:val="28"/>
            <w:szCs w:val="28"/>
          </w:rPr>
          <w:t>https://www.cbr.ru/currency_base/daily/</w:t>
        </w:r>
      </w:hyperlink>
      <w:r>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bCs/>
          <w:sz w:val="28"/>
          <w:szCs w:val="28"/>
        </w:rPr>
        <w:t>указываются (в именительном падеж</w:t>
      </w:r>
      <w:r>
        <w:rPr>
          <w:rFonts w:ascii="Times New Roman" w:hAnsi="Times New Roman"/>
          <w:color w:val="1F497D"/>
          <w:sz w:val="28"/>
          <w:szCs w:val="28"/>
        </w:rPr>
        <w:t>е</w:t>
      </w:r>
      <w:r>
        <w:rPr>
          <w:rFonts w:ascii="Times New Roman" w:hAnsi="Times New Roman"/>
          <w:bCs/>
          <w:sz w:val="28"/>
          <w:szCs w:val="28"/>
        </w:rPr>
        <w:t xml:space="preserve">) </w:t>
      </w:r>
      <w:r>
        <w:rPr>
          <w:rStyle w:val="Style12"/>
          <w:rFonts w:cs="Times New Roman" w:ascii="Times New Roman" w:hAnsi="Times New Roman"/>
          <w:sz w:val="28"/>
          <w:szCs w:val="28"/>
        </w:rPr>
        <w:t>полностью, без</w:t>
      </w:r>
      <w:r>
        <w:rPr>
          <w:rStyle w:val="Style12"/>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szCs w:val="28"/>
        </w:rPr>
        <w:t>удостоверяющего личность документа указываются по состоянию на дату представления справки)</w:t>
      </w:r>
      <w:r>
        <w:rPr>
          <w:rStyle w:val="Style12"/>
          <w:rFonts w:cs="Times New Roman" w:ascii="Times New Roman" w:hAnsi="Times New Roman"/>
          <w:color w:val="000000"/>
          <w:sz w:val="28"/>
          <w:szCs w:val="28"/>
        </w:rPr>
        <w:t xml:space="preserve">. </w:t>
      </w:r>
      <w:r>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2"/>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cs="Times New Roman" w:ascii="Times New Roman" w:hAnsi="Times New Roman"/>
          <w:sz w:val="28"/>
          <w:szCs w:val="28"/>
        </w:rPr>
        <w:t>(с 1 января по 1 (30) апреля года, следующего за отчетным)</w:t>
      </w:r>
      <w:r>
        <w:rPr>
          <w:rStyle w:val="Style12"/>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cs="Times New Roman"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cs="Times New Roman" w:ascii="Times New Roman" w:hAnsi="Times New Roman"/>
          <w:sz w:val="28"/>
          <w:szCs w:val="28"/>
        </w:rPr>
        <w:t xml:space="preserve"> или "домохозяйка" ("домохозяин")</w:t>
      </w:r>
      <w:r>
        <w:rPr>
          <w:rStyle w:val="Style12"/>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cs="Times New Roman" w:ascii="Times New Roman" w:hAnsi="Times New Roman"/>
          <w:sz w:val="28"/>
          <w:szCs w:val="28"/>
        </w:rPr>
        <w:t>"</w:t>
      </w:r>
      <w:r>
        <w:rPr>
          <w:rStyle w:val="Style12"/>
          <w:rFonts w:cs="Times New Roman" w:ascii="Times New Roman" w:hAnsi="Times New Roman"/>
          <w:sz w:val="28"/>
          <w:szCs w:val="28"/>
        </w:rPr>
        <w:t>осуществляющий уход за нетрудоспособным гражданином</w:t>
      </w:r>
      <w:r>
        <w:rPr>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5) при наличии на отчетную дату нескольких мест работы на титульном листе справки </w:t>
      </w:r>
      <w:r>
        <w:rPr>
          <w:rFonts w:cs="Times New Roman" w:ascii="Times New Roman" w:hAnsi="Times New Roman"/>
          <w:sz w:val="28"/>
          <w:szCs w:val="28"/>
        </w:rPr>
        <w:t>обязательно</w:t>
      </w:r>
      <w:r>
        <w:rPr>
          <w:rStyle w:val="Style12"/>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организация, в которой находится трудовая книжка. 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2"/>
          <w:rFonts w:cs="Times New Roman" w:ascii="Times New Roman" w:hAnsi="Times New Roman"/>
          <w:sz w:val="28"/>
          <w:szCs w:val="28"/>
        </w:rPr>
        <w:t>по состоянию на дату представления справки</w:t>
      </w:r>
      <w:r>
        <w:rPr>
          <w:rStyle w:val="Style12"/>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2"/>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numPr>
          <w:ilvl w:val="0"/>
          <w:numId w:val="1"/>
        </w:numPr>
        <w:ind w:left="0" w:firstLine="709"/>
        <w:rPr>
          <w:rFonts w:ascii="Times New Roman" w:hAnsi="Times New Roman"/>
          <w:sz w:val="28"/>
          <w:szCs w:val="28"/>
        </w:rPr>
      </w:pPr>
      <w:r>
        <w:rPr>
          <w:rFonts w:eastAsia="Times New Roman" w:ascii="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2" w:tgtFrame="https://mintrud.gov.ru/docs/1872">
        <w:r>
          <w:rPr>
            <w:rFonts w:ascii="Times New Roman" w:hAnsi="Times New Roman"/>
            <w:sz w:val="28"/>
            <w:szCs w:val="28"/>
          </w:rPr>
          <w:t>https://mintrud.gov.ru/docs/1872</w:t>
        </w:r>
      </w:hyperlink>
      <w:r>
        <w:rPr>
          <w:rFonts w:ascii="Times New Roman" w:hAnsi="Times New Roman"/>
          <w:sz w:val="28"/>
          <w:szCs w:val="28"/>
        </w:rPr>
        <w:t xml:space="preserve">). </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дисконт, полученный в качестве дохода по облигациям;</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1"/>
        <w:numPr>
          <w:ilvl w:val="0"/>
          <w:numId w:val="1"/>
        </w:numPr>
        <w:shd w:val="clear" w:color="auto" w:fill="auto"/>
        <w:tabs>
          <w:tab w:val="clear" w:pos="709"/>
          <w:tab w:val="left" w:pos="142"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1"/>
        <w:shd w:val="clear" w:color="auto" w:fill="auto"/>
        <w:tabs>
          <w:tab w:val="clear" w:pos="709"/>
          <w:tab w:val="left" w:pos="142"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Так, например, в строке иные доходы могут быть указаны: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государственная и негосударственная пенсии </w:t>
      </w:r>
      <w:r>
        <w:rPr>
          <w:rFonts w:cs="Times New Roman" w:ascii="Times New Roman" w:hAnsi="Times New Roman"/>
          <w:sz w:val="28"/>
          <w:szCs w:val="28"/>
        </w:rPr>
        <w:t>(при этом разные виды пенсий (по возрасту и пенсия военнослужащего) не следует суммировать)</w:t>
      </w:r>
      <w:r>
        <w:rPr>
          <w:rStyle w:val="Style12"/>
          <w:rFonts w:cs="Times New Roman" w:ascii="Times New Roman" w:hAnsi="Times New Roman"/>
          <w:sz w:val="28"/>
          <w:szCs w:val="28"/>
        </w:rPr>
        <w:t>;</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6"/>
        </w:numPr>
        <w:tabs>
          <w:tab w:val="clear" w:pos="709"/>
          <w:tab w:val="left" w:pos="142" w:leader="none"/>
          <w:tab w:val="left" w:pos="1134" w:leader="none"/>
        </w:tabs>
        <w:ind w:left="0" w:firstLine="567"/>
        <w:rPr>
          <w:color w:val="auto"/>
          <w:sz w:val="28"/>
          <w:szCs w:val="28"/>
        </w:rPr>
      </w:pPr>
      <w:r>
        <w:rPr>
          <w:rStyle w:val="Style12"/>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12"/>
          <w:rFonts w:cs="Times New Roman"/>
          <w:sz w:val="28"/>
          <w:szCs w:val="28"/>
        </w:rPr>
        <w:t xml:space="preserve"> и др.</w:t>
      </w:r>
      <w:r>
        <w:rPr>
          <w:color w:val="auto"/>
          <w:sz w:val="28"/>
          <w:szCs w:val="28"/>
        </w:rPr>
        <w:t xml:space="preserve">), если данные выплаты не были включены в справку по форме 6-НДФЛ,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стипендия;</w:t>
      </w:r>
    </w:p>
    <w:p>
      <w:pPr>
        <w:pStyle w:val="ListParagraph"/>
        <w:numPr>
          <w:ilvl w:val="0"/>
          <w:numId w:val="6"/>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2"/>
          <w:rFonts w:cs="Times New Roman"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2"/>
          <w:rFonts w:cs="Times New Roman" w:ascii="Times New Roman" w:hAnsi="Times New Roman"/>
          <w:color w:val="000000"/>
          <w:sz w:val="28"/>
          <w:szCs w:val="28"/>
        </w:rPr>
        <w:t xml:space="preserve">При этом </w:t>
      </w:r>
      <w:r>
        <w:rPr>
          <w:rStyle w:val="Style12"/>
          <w:rFonts w:cs="Times New Roman" w:ascii="Times New Roman" w:hAnsi="Times New Roman"/>
          <w:sz w:val="28"/>
          <w:szCs w:val="28"/>
        </w:rPr>
        <w:t xml:space="preserve">рекомендуется </w:t>
      </w:r>
      <w:r>
        <w:rPr>
          <w:rStyle w:val="Style12"/>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1"/>
        <w:numPr>
          <w:ilvl w:val="0"/>
          <w:numId w:val="6"/>
        </w:numPr>
        <w:shd w:val="clear" w:color="auto" w:fill="auto"/>
        <w:tabs>
          <w:tab w:val="clear" w:pos="709"/>
          <w:tab w:val="left" w:pos="142" w:leader="none"/>
          <w:tab w:val="left" w:pos="710"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shd w:fill="FFFFFF" w:val="clear"/>
        </w:rPr>
      </w:pPr>
      <w:r>
        <w:rPr>
          <w:rStyle w:val="Style12"/>
          <w:rFonts w:cs="Times New Roman" w:ascii="Times New Roman" w:hAnsi="Times New Roman"/>
          <w:sz w:val="28"/>
          <w:szCs w:val="28"/>
        </w:rPr>
        <w:t xml:space="preserve">доходы по трудовым договорам по совместительству.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адрес места нахождения </w:t>
      </w:r>
      <w:r>
        <w:rPr>
          <w:rStyle w:val="111"/>
          <w:rFonts w:ascii="Times New Roman" w:hAnsi="Times New Roman"/>
          <w:color w:val="000000"/>
          <w:sz w:val="28"/>
          <w:szCs w:val="28"/>
        </w:rPr>
        <w:t xml:space="preserve">организации, от которой был получен доход;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shd w:fill="FFFFFF" w:val="clear"/>
        </w:rPr>
      </w:pPr>
      <w:r>
        <w:rPr>
          <w:rStyle w:val="Style12"/>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color w:val="000000"/>
          <w:sz w:val="28"/>
          <w:szCs w:val="28"/>
        </w:rPr>
      </w:pPr>
      <w:r>
        <w:rPr>
          <w:rStyle w:val="Style12"/>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место нахождения </w:t>
      </w:r>
      <w:r>
        <w:rPr>
          <w:rStyle w:val="111"/>
          <w:rFonts w:ascii="Times New Roman" w:hAnsi="Times New Roman"/>
          <w:color w:val="000000"/>
          <w:sz w:val="28"/>
          <w:szCs w:val="28"/>
        </w:rPr>
        <w:t xml:space="preserve">организации, от которой был получен доход, или </w:t>
      </w:r>
      <w:r>
        <w:rPr>
          <w:rFonts w:ascii="Times New Roman" w:hAnsi="Times New Roman"/>
          <w:sz w:val="28"/>
          <w:szCs w:val="28"/>
        </w:rPr>
        <w:t>фамилию, имя и отчество соответствующего лица</w:t>
      </w:r>
      <w:r>
        <w:rPr>
          <w:rStyle w:val="111"/>
          <w:rFonts w:ascii="Times New Roman" w:hAnsi="Times New Roman"/>
          <w:color w:val="000000"/>
          <w:sz w:val="28"/>
          <w:szCs w:val="28"/>
        </w:rPr>
        <w:t xml:space="preserve">;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 При этом рекомендуется указать</w:t>
      </w:r>
      <w:r>
        <w:rPr>
          <w:rStyle w:val="111"/>
          <w:rFonts w:ascii="Times New Roman" w:hAnsi="Times New Roman"/>
          <w:color w:val="000000"/>
          <w:sz w:val="28"/>
          <w:szCs w:val="28"/>
        </w:rPr>
        <w:t xml:space="preserve"> </w:t>
      </w:r>
      <w:r>
        <w:rPr>
          <w:rFonts w:ascii="Times New Roman" w:hAnsi="Times New Roman"/>
          <w:sz w:val="28"/>
          <w:szCs w:val="28"/>
        </w:rPr>
        <w:t>фамилию, имя и отчество соответствующего дарителя или наследодателя соответственно</w:t>
      </w:r>
      <w:r>
        <w:rPr>
          <w:rFonts w:cs="Times New Roman" w:ascii="Times New Roman" w:hAnsi="Times New Roman"/>
          <w:sz w:val="28"/>
          <w:szCs w:val="28"/>
        </w:rPr>
        <w:t>;</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6"/>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205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6"/>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pPr>
        <w:pStyle w:val="ListParagraph"/>
        <w:numPr>
          <w:ilvl w:val="0"/>
          <w:numId w:val="6"/>
        </w:numPr>
        <w:tabs>
          <w:tab w:val="clear" w:pos="709"/>
          <w:tab w:val="left" w:pos="142" w:leader="none"/>
          <w:tab w:val="left" w:pos="1134" w:leader="none"/>
        </w:tabs>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6"/>
        </w:numPr>
        <w:ind w:left="0" w:firstLine="567"/>
        <w:rPr>
          <w:rFonts w:ascii="Times New Roman" w:hAnsi="Times New Roman"/>
          <w:sz w:val="28"/>
          <w:szCs w:val="28"/>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1"/>
        <w:numPr>
          <w:ilvl w:val="0"/>
          <w:numId w:val="6"/>
        </w:numPr>
        <w:shd w:val="clear" w:color="auto" w:fill="auto"/>
        <w:tabs>
          <w:tab w:val="clear" w:pos="709"/>
          <w:tab w:val="left" w:pos="142" w:leader="none"/>
          <w:tab w:val="left" w:pos="1276"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1"/>
        <w:numPr>
          <w:ilvl w:val="0"/>
          <w:numId w:val="6"/>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eastAsia="Times New Roman" w:ascii="Times New Roman" w:hAnsi="Times New Roman"/>
          <w:sz w:val="28"/>
          <w:szCs w:val="28"/>
          <w:lang w:eastAsia="ru-RU"/>
        </w:rPr>
        <w:t>"</w:t>
      </w:r>
      <w:r>
        <w:rPr>
          <w:rFonts w:ascii="Times New Roman" w:hAnsi="Times New Roman"/>
          <w:sz w:val="28"/>
          <w:szCs w:val="28"/>
        </w:rPr>
        <w:t>Доход от педагогической и научной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раздела 1 справки, результаты иной творческой деятельности – в строке </w:t>
      </w:r>
      <w:r>
        <w:rPr>
          <w:rFonts w:eastAsia="Times New Roman" w:ascii="Times New Roman" w:hAnsi="Times New Roman"/>
          <w:sz w:val="28"/>
          <w:szCs w:val="28"/>
          <w:lang w:eastAsia="ru-RU"/>
        </w:rPr>
        <w:t>"</w:t>
      </w:r>
      <w:r>
        <w:rPr>
          <w:rFonts w:ascii="Times New Roman" w:hAnsi="Times New Roman"/>
          <w:sz w:val="28"/>
          <w:szCs w:val="28"/>
        </w:rPr>
        <w:t>Доход от иной творческой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указанного раздела справки;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56 настоящих Методических рекомендаций);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2"/>
          <w:rFonts w:cs="Times New Roman" w:ascii="Times New Roman" w:hAnsi="Times New Roman"/>
          <w:color w:val="000000"/>
          <w:sz w:val="28"/>
          <w:szCs w:val="28"/>
        </w:rPr>
        <w:t xml:space="preserve">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pPr>
        <w:pStyle w:val="ListParagraph"/>
        <w:numPr>
          <w:ilvl w:val="0"/>
          <w:numId w:val="6"/>
        </w:numPr>
        <w:tabs>
          <w:tab w:val="clear" w:pos="709"/>
          <w:tab w:val="left" w:pos="1276" w:leader="none"/>
        </w:tabs>
        <w:ind w:left="567" w:hanging="0"/>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ListParagraph"/>
        <w:numPr>
          <w:ilvl w:val="1"/>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pPr>
        <w:pStyle w:val="ListParagraph"/>
        <w:numPr>
          <w:ilvl w:val="1"/>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pPr>
        <w:pStyle w:val="Normal"/>
        <w:ind w:firstLine="567"/>
        <w:rPr>
          <w:rFonts w:ascii="Times New Roman" w:hAnsi="Times New Roman" w:eastAsia="Times New Roman"/>
          <w:sz w:val="28"/>
          <w:szCs w:val="28"/>
        </w:rPr>
      </w:pPr>
      <w:r>
        <w:rPr>
          <w:rFonts w:eastAsia="Times New Roman" w:ascii="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Pr>
          <w:rFonts w:ascii="Times New Roman" w:hAnsi="Times New Roman"/>
          <w:sz w:val="28"/>
          <w:szCs w:val="28"/>
        </w:rPr>
        <w:t xml:space="preserve"> </w:t>
      </w:r>
      <w:r>
        <w:rPr>
          <w:rFonts w:eastAsia="Times New Roman" w:ascii="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w:t>
      </w:r>
      <w:r>
        <w:rPr>
          <w:rFonts w:ascii="Times New Roman" w:hAnsi="Times New Roman"/>
          <w:sz w:val="28"/>
          <w:szCs w:val="28"/>
          <w:lang w:eastAsia="ru-RU"/>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2"/>
          <w:rFonts w:cs="Times New Roman" w:ascii="Times New Roman" w:hAnsi="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2"/>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2"/>
          <w:rFonts w:cs="Times New Roman" w:ascii="Times New Roman" w:hAnsi="Times New Roman"/>
          <w:color w:val="000000"/>
          <w:sz w:val="28"/>
          <w:szCs w:val="28"/>
        </w:rPr>
        <w:t xml:space="preserve"> Федеральным законом</w:t>
      </w:r>
      <w:r>
        <w:rPr>
          <w:rFonts w:ascii="Times New Roman" w:hAnsi="Times New Roman"/>
          <w:sz w:val="28"/>
          <w:szCs w:val="28"/>
        </w:rPr>
        <w:t xml:space="preserve"> </w:t>
      </w:r>
      <w:r>
        <w:rPr>
          <w:rStyle w:val="Style12"/>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pPr>
        <w:pStyle w:val="ListParagraph"/>
        <w:ind w:left="0" w:firstLine="709"/>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szCs w:val="28"/>
        </w:rPr>
        <w:t>жилищно-коммунальных услуг и т.п.</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цели реализации пункта 82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pPr>
      <w: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pPr>
      <w: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eastAsia="Times New Roman"/>
          <w:b/>
          <w:b/>
          <w:sz w:val="28"/>
          <w:szCs w:val="28"/>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8"/>
          <w:szCs w:val="28"/>
        </w:rPr>
      </w:pPr>
      <w:r>
        <w:rPr>
          <w:rFonts w:eastAsia="Times New Roman" w:ascii="Times New Roman" w:hAnsi="Times New Roman"/>
          <w:sz w:val="28"/>
          <w:szCs w:val="28"/>
        </w:rPr>
      </w:r>
    </w:p>
    <w:p>
      <w:pPr>
        <w:pStyle w:val="Normal"/>
        <w:rPr>
          <w:rFonts w:ascii="Times New Roman" w:hAnsi="Times New Roman" w:eastAsia="Times New Roman"/>
          <w:b/>
          <w:b/>
          <w:sz w:val="28"/>
          <w:szCs w:val="28"/>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116 настоящих Методических рекомендаций).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116 настоящих Методических рекомендаций).</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2"/>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color w:val="000000"/>
          <w:sz w:val="28"/>
          <w:szCs w:val="28"/>
        </w:rPr>
        <w:t xml:space="preserve">При наличии в собственности </w:t>
      </w:r>
      <w:r>
        <w:rPr>
          <w:rStyle w:val="Style12"/>
          <w:rFonts w:cs="Times New Roman" w:ascii="Times New Roman" w:hAnsi="Times New Roman"/>
          <w:b/>
          <w:color w:val="000000"/>
          <w:sz w:val="28"/>
          <w:szCs w:val="28"/>
        </w:rPr>
        <w:t>жилого или садового дома,</w:t>
      </w:r>
      <w:r>
        <w:rPr>
          <w:rStyle w:val="Style12"/>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Style w:val="Style12"/>
          <w:rFonts w:cs="Times New Roman" w:ascii="Times New Roman" w:hAnsi="Times New Roman"/>
          <w:color w:val="000000"/>
          <w:sz w:val="28"/>
          <w:szCs w:val="28"/>
        </w:rPr>
        <w:t>В строке 4 "</w:t>
      </w:r>
      <w:r>
        <w:rPr>
          <w:rStyle w:val="Style12"/>
          <w:rFonts w:cs="Times New Roman" w:ascii="Times New Roman" w:hAnsi="Times New Roman"/>
          <w:b/>
          <w:color w:val="000000"/>
          <w:sz w:val="28"/>
          <w:szCs w:val="28"/>
        </w:rPr>
        <w:t>Гаражи</w:t>
      </w:r>
      <w:r>
        <w:rPr>
          <w:rStyle w:val="Style12"/>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2"/>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2"/>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2"/>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szCs w:val="28"/>
        </w:rPr>
        <w:t>или</w:t>
      </w:r>
      <w:r>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3" w:tgtFrame="https://lk.rosreestr.ru/eservices/real-estate-objects-online">
        <w:r>
          <w:rPr>
            <w:rFonts w:ascii="Times New Roman" w:hAnsi="Times New Roman"/>
            <w:sz w:val="28"/>
            <w:szCs w:val="28"/>
          </w:rPr>
          <w:t>https://lk.rosreestr.ru/eservices/real-estate-objects-online</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4" w:tgtFrame="https://www.gibdd.ru/r/77/contacts/div1145039/">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5" w:tgtFrame="https://www.gibdd.ru/r/66/contacts/div1165058/">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6" w:tgtFrame="https://www.gibdd.ru/r/66/contacts/div1165043/">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согласно официальным документам (например,</w:t>
      </w:r>
      <w:r>
        <w:rPr>
          <w:rFonts w:eastAsia="Times New Roman" w:ascii="Times New Roman" w:hAnsi="Times New Roman"/>
          <w:sz w:val="28"/>
          <w:szCs w:val="28"/>
          <w:lang w:eastAsia="ru-RU"/>
        </w:rPr>
        <w:t xml:space="preserve">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Normal"/>
        <w:widowControl w:val="false"/>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Наименование цифрового финансового актива или цифрового права</w:t>
      </w:r>
      <w:r>
        <w:rPr>
          <w:rStyle w:val="Style12"/>
          <w:rFonts w:cs="Times New Roman" w:ascii="Times New Roman" w:hAnsi="Times New Roman"/>
          <w:sz w:val="28"/>
          <w:szCs w:val="28"/>
          <w:shd w:fill="auto" w:val="clear"/>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цифрового финансового актива</w:t>
      </w:r>
      <w:r>
        <w:rPr>
          <w:rFonts w:ascii="Times New Roman" w:hAnsi="Times New Roman"/>
          <w:sz w:val="28"/>
          <w:szCs w:val="28"/>
        </w:rPr>
        <w:t>, цифрового права, включающего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иного цифрового права.</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Общее количество</w:t>
      </w:r>
      <w:r>
        <w:rPr>
          <w:rStyle w:val="Style12"/>
          <w:rFonts w:cs="Times New Roman" w:ascii="Times New Roman" w:hAnsi="Times New Roman"/>
          <w:sz w:val="28"/>
          <w:szCs w:val="28"/>
          <w:shd w:fill="auto" w:val="clear"/>
        </w:rPr>
        <w:t>" указывается общее количество приобретенных цифровых финансовых активов</w:t>
      </w:r>
      <w:r>
        <w:rPr>
          <w:rFonts w:ascii="Times New Roman" w:hAnsi="Times New Roman"/>
          <w:sz w:val="28"/>
          <w:szCs w:val="28"/>
        </w:rPr>
        <w:t>, цифровых прав, включающих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2"/>
          <w:rFonts w:cs="Times New Roman" w:ascii="Times New Roman" w:hAnsi="Times New Roman"/>
          <w:sz w:val="28"/>
          <w:szCs w:val="28"/>
          <w:shd w:fill="auto" w:val="clear"/>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17">
        <w:r>
          <w:rPr>
            <w:rFonts w:ascii="Times New Roman" w:hAnsi="Times New Roman"/>
            <w:sz w:val="28"/>
            <w:szCs w:val="28"/>
          </w:rPr>
          <w:t>https://cbr.ru/vfs/registers/infr/list_OIS.xlsx</w:t>
        </w:r>
      </w:hyperlink>
      <w:r>
        <w:rPr>
          <w:rStyle w:val="Style12"/>
          <w:rFonts w:cs="Times New Roman" w:ascii="Times New Roman" w:hAnsi="Times New Roman"/>
          <w:sz w:val="28"/>
          <w:szCs w:val="28"/>
          <w:shd w:fill="auto" w:val="clear"/>
        </w:rPr>
        <w:t>.</w:t>
      </w:r>
    </w:p>
    <w:p>
      <w:pPr>
        <w:pStyle w:val="ListParagraph"/>
        <w:widowControl w:val="false"/>
        <w:ind w:left="567" w:hanging="0"/>
        <w:rPr>
          <w:rStyle w:val="Style12"/>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1) право требовать передачи вещи (вещей) (например, право требования золота в слитках при инвестировании в добычу золота); </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pPr>
        <w:pStyle w:val="ListParagraph"/>
        <w:widowControl w:val="false"/>
        <w:tabs>
          <w:tab w:val="clear" w:pos="709"/>
          <w:tab w:val="left" w:pos="142" w:leader="none"/>
        </w:tabs>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Уникальное условное обозначение</w:t>
      </w:r>
      <w:r>
        <w:rPr>
          <w:rStyle w:val="Style12"/>
          <w:rFonts w:cs="Times New Roman" w:ascii="Times New Roman" w:hAnsi="Times New Roman"/>
          <w:sz w:val="28"/>
          <w:szCs w:val="28"/>
          <w:shd w:fill="auto" w:val="clear"/>
        </w:rPr>
        <w:t>" указывается уникальное условное обозначение, идентифицирующее утилитарное цифровое право.</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утилитарного цифрового права.</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Объем инвестиций (руб.)</w:t>
      </w:r>
      <w:r>
        <w:rPr>
          <w:rStyle w:val="Style12"/>
          <w:rFonts w:cs="Times New Roman" w:ascii="Times New Roman" w:hAnsi="Times New Roman"/>
          <w:sz w:val="28"/>
          <w:szCs w:val="28"/>
          <w:shd w:fill="auto" w:val="clear"/>
        </w:rPr>
        <w:t>" указывается объем инвестиций в рублях в соответствии с договором инвестирования.</w:t>
      </w:r>
      <w:r>
        <w:rPr>
          <w:rFonts w:ascii="Times New Roman" w:hAnsi="Times New Roman"/>
          <w:sz w:val="28"/>
          <w:szCs w:val="28"/>
        </w:rPr>
        <w:t xml:space="preserve"> </w:t>
      </w:r>
      <w:r>
        <w:rPr>
          <w:rStyle w:val="Style12"/>
          <w:rFonts w:cs="Times New Roman" w:ascii="Times New Roman" w:hAnsi="Times New Roman"/>
          <w:sz w:val="28"/>
          <w:szCs w:val="28"/>
          <w:shd w:fill="auto" w:val="clear"/>
        </w:rPr>
        <w:t xml:space="preserve">Инвестиции, выраженные в иностранной валюте, указываются в рублях по курсу Банка России на дату их осуществления </w:t>
      </w:r>
      <w:r>
        <w:rPr>
          <w:rFonts w:eastAsia="Times New Roman" w:ascii="Times New Roman" w:hAnsi="Times New Roman"/>
          <w:sz w:val="28"/>
          <w:szCs w:val="28"/>
          <w:lang w:eastAsia="ru-RU"/>
        </w:rPr>
        <w:t>(с учетом положений пункта 50 настоящих Методических рекомендаций)</w:t>
      </w:r>
      <w:r>
        <w:rPr>
          <w:rStyle w:val="Style12"/>
          <w:rFonts w:cs="Times New Roman" w:ascii="Times New Roman" w:hAnsi="Times New Roman"/>
          <w:sz w:val="28"/>
          <w:szCs w:val="28"/>
          <w:shd w:fill="auto" w:val="clear"/>
        </w:rPr>
        <w:t>.</w:t>
      </w:r>
    </w:p>
    <w:p>
      <w:pPr>
        <w:pStyle w:val="Normal"/>
        <w:widowControl w:val="false"/>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Сведения об операторе инвестиционной платформы</w:t>
      </w:r>
      <w:r>
        <w:rPr>
          <w:rStyle w:val="Style12"/>
          <w:rFonts w:cs="Times New Roman" w:ascii="Times New Roman" w:hAnsi="Times New Roman"/>
          <w:sz w:val="28"/>
          <w:szCs w:val="28"/>
          <w:shd w:fill="auto" w:val="clear"/>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18">
        <w:r>
          <w:rPr>
            <w:rFonts w:ascii="Times New Roman" w:hAnsi="Times New Roman"/>
            <w:sz w:val="28"/>
            <w:szCs w:val="28"/>
          </w:rPr>
          <w:t>http://www.cbr.ru/vfs/registers/infr/list_invest_platform_op.xlsx</w:t>
        </w:r>
      </w:hyperlink>
      <w:r>
        <w:rPr>
          <w:rFonts w:ascii="Times New Roman" w:hAnsi="Times New Roman"/>
          <w:sz w:val="28"/>
          <w:szCs w:val="28"/>
        </w:rPr>
        <w:t xml:space="preserve">. </w:t>
      </w:r>
    </w:p>
    <w:p>
      <w:pPr>
        <w:pStyle w:val="ListParagraph"/>
        <w:widowControl w:val="false"/>
        <w:ind w:left="0" w:firstLine="567"/>
        <w:rPr>
          <w:rStyle w:val="Style12"/>
          <w:rFonts w:ascii="Times New Roman" w:hAnsi="Times New Roman" w:cs="Times New Roman"/>
          <w:sz w:val="28"/>
          <w:szCs w:val="28"/>
          <w:shd w:fill="auto" w:val="clear"/>
        </w:rPr>
      </w:pPr>
      <w:r>
        <w:rPr>
          <w:rFonts w:ascii="Times New Roman" w:hAnsi="Times New Roman"/>
          <w:b/>
          <w:sz w:val="28"/>
          <w:szCs w:val="28"/>
        </w:rPr>
        <w:t>Подраздел 3.5. Цифровая валюта</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Примерами цифровой валюты являются: Биткоин (BTC), Эфириум (ETH), Тезер (USDT) и др.</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Наименование цифровой валюты</w:t>
      </w:r>
      <w:r>
        <w:rPr>
          <w:rStyle w:val="Style12"/>
          <w:rFonts w:cs="Times New Roman" w:ascii="Times New Roman" w:hAnsi="Times New Roman"/>
          <w:sz w:val="28"/>
          <w:szCs w:val="28"/>
          <w:shd w:fill="auto" w:val="clear"/>
        </w:rPr>
        <w:t>"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цифровой валюты.</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цифровой валюты может совпадать с датой транзакции, то есть с датой передачи цифровой валюты от одного лица другому.</w:t>
      </w:r>
    </w:p>
    <w:p>
      <w:pPr>
        <w:pStyle w:val="ListParagraph"/>
        <w:widowControl w:val="false"/>
        <w:numPr>
          <w:ilvl w:val="0"/>
          <w:numId w:val="1"/>
        </w:numPr>
        <w:ind w:left="0" w:firstLine="567"/>
        <w:rPr>
          <w:rFonts w:ascii="Times New Roman" w:hAnsi="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Общее количество</w:t>
      </w:r>
      <w:r>
        <w:rPr>
          <w:rStyle w:val="Style12"/>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6)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7)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8)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tgtFrame="https://www.cbr.ru/hd_base/metall/metall_base_new/">
        <w:r>
          <w:rPr>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публичные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205 настоящих Методических рекомендаций.</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shd w:fill="FFFFFF" w:val="clear"/>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left="0" w:firstLine="567"/>
        <w:rPr>
          <w:rFonts w:ascii="Times New Roman" w:hAnsi="Times New Roman"/>
          <w:sz w:val="28"/>
          <w:szCs w:val="28"/>
        </w:rPr>
      </w:pPr>
      <w:r>
        <w:rPr>
          <w:rStyle w:val="Style12"/>
          <w:rFonts w:cs="Times New Roman"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 следующие применимые для целей представления Сведений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2"/>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2"/>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до 1 июля 2023 года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По счету в драгоценных металлах данная графа не заполняется.</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26"/>
        <w:gridCol w:w="8221"/>
      </w:tblGrid>
      <w:tr>
        <w:trPr/>
        <w:tc>
          <w:tcPr>
            <w:tcW w:w="2126" w:type="dxa"/>
            <w:tcBorders/>
          </w:tcPr>
          <w:p>
            <w:pPr>
              <w:pStyle w:val="ListParagraph"/>
              <w:widowControl/>
              <w:spacing w:before="0" w:after="0"/>
              <w:ind w:lef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Расчетная (дебетовая)</w:t>
            </w:r>
          </w:p>
        </w:tc>
        <w:tc>
          <w:tcPr>
            <w:tcW w:w="8221" w:type="dxa"/>
            <w:tcBorders/>
          </w:tcPr>
          <w:p>
            <w:pPr>
              <w:pStyle w:val="ListParagraph"/>
              <w:widowControl/>
              <w:spacing w:before="0" w:after="0"/>
              <w:ind w:lef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6" w:type="dxa"/>
            <w:tcBorders/>
          </w:tcPr>
          <w:p>
            <w:pPr>
              <w:pStyle w:val="ListParagraph"/>
              <w:widowControl/>
              <w:spacing w:before="0" w:after="0"/>
              <w:ind w:lef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Кредитная</w:t>
            </w:r>
          </w:p>
        </w:tc>
        <w:tc>
          <w:tcPr>
            <w:tcW w:w="8221" w:type="dxa"/>
            <w:tcBorders/>
          </w:tcPr>
          <w:p>
            <w:pPr>
              <w:pStyle w:val="ListParagraph"/>
              <w:widowControl/>
              <w:spacing w:before="0" w:after="0"/>
              <w:ind w:lef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Расчетная (дебетовая) и, как правило, кредитные карты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szCs w:val="28"/>
        </w:rPr>
        <w:t xml:space="preserve">Кроме того, необходимо обращать внимание, что </w:t>
      </w:r>
      <w:r>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0" w:tgtFrame="https://www.nalog.ru/rn77/related_activities/accounting/bank_account/">
        <w:r>
          <w:rPr>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tgtFrame="https://www.cbr.ru/banking_sector/likvidbase/">
        <w:r>
          <w:rPr>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Местонахождение организации (адрес)</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0" w:firstLine="567"/>
        <w:rPr>
          <w:rFonts w:ascii="Times New Roman" w:hAnsi="Times New Roman"/>
          <w:sz w:val="28"/>
          <w:szCs w:val="28"/>
        </w:rPr>
      </w:pPr>
      <w:r>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szCs w:val="28"/>
        </w:rPr>
        <w:t>Основание участия</w:t>
      </w:r>
      <w:r>
        <w:rPr>
          <w:rFonts w:ascii="Times New Roman" w:hAnsi="Times New Roman"/>
          <w:sz w:val="28"/>
          <w:szCs w:val="28"/>
        </w:rPr>
        <w:t>" указывается "приобретено на организованных торгах", а также указывается год приобретения.</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tabs>
          <w:tab w:val="clear" w:pos="709"/>
          <w:tab w:val="left" w:pos="1418" w:leader="none"/>
        </w:tabs>
        <w:ind w:left="0" w:firstLine="567"/>
        <w:rPr>
          <w:rFonts w:ascii="Times New Roman" w:hAnsi="Times New Roman"/>
          <w:sz w:val="28"/>
          <w:szCs w:val="28"/>
        </w:rPr>
      </w:pPr>
      <w:r>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ListParagraph"/>
        <w:tabs>
          <w:tab w:val="clear" w:pos="709"/>
          <w:tab w:val="left" w:pos="1418" w:leader="none"/>
        </w:tabs>
        <w:ind w:left="0" w:firstLine="567"/>
        <w:rPr>
          <w:rFonts w:ascii="Times New Roman" w:hAnsi="Times New Roman"/>
          <w:sz w:val="28"/>
          <w:szCs w:val="28"/>
        </w:rPr>
      </w:pPr>
      <w:r>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2">
        <w:r>
          <w:rPr>
            <w:rFonts w:ascii="Times New Roman" w:hAnsi="Times New Roman"/>
            <w:sz w:val="28"/>
            <w:szCs w:val="28"/>
          </w:rPr>
          <w:t>https://mintrud.gov.ru/ministry/programms/anticorruption/9/21</w:t>
        </w:r>
      </w:hyperlink>
      <w:r>
        <w:rPr>
          <w:rFonts w:ascii="Times New Roman" w:hAnsi="Times New Roman"/>
          <w:sz w:val="28"/>
          <w:szCs w:val="28"/>
        </w:rPr>
        <w:t>).</w:t>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4"/>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Графа "</w:t>
      </w:r>
      <w:r>
        <w:rPr>
          <w:rFonts w:ascii="Times New Roman" w:hAnsi="Times New Roman"/>
          <w:b/>
          <w:sz w:val="28"/>
          <w:szCs w:val="28"/>
        </w:rPr>
        <w:t>Площадь (кв. м)</w:t>
      </w:r>
      <w:r>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709"/>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567"/>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tgtFrame="https://www.cbr.ru/currency_base/daily/">
        <w:r>
          <w:rPr>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фьючерсный договор;</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8"/>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pStyle w:val="Normal"/>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szCs w:val="28"/>
          <w:lang w:val="en-US"/>
        </w:rPr>
        <w:t>I</w:t>
      </w:r>
      <w:r>
        <w:rPr>
          <w:rFonts w:ascii="Times New Roman" w:hAnsi="Times New Roman"/>
          <w:sz w:val="28"/>
          <w:szCs w:val="28"/>
        </w:rPr>
        <w:t xml:space="preserve">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pStyle w:val="Normal"/>
        <w:ind w:hanging="0"/>
        <w:jc w:val="left"/>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пунктом 175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szCs w:val="28"/>
        </w:rPr>
        <w:t xml:space="preserve"> </w:t>
      </w:r>
      <w:r>
        <w:rPr>
          <w:rStyle w:val="Style12"/>
          <w:rFonts w:cs="Times New Roman" w:ascii="Times New Roman" w:hAnsi="Times New Roman"/>
          <w:sz w:val="28"/>
          <w:szCs w:val="28"/>
          <w:shd w:fill="auto" w:val="clear"/>
        </w:rPr>
        <w:t>Для цифровых финансовых активов, цифровых прав и цифровой валюты также указывается дата их отчуждения.</w:t>
      </w:r>
    </w:p>
    <w:sectPr>
      <w:headerReference w:type="default" r:id="rId24"/>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MS Minch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rFonts w:ascii="Times New Roman" w:hAnsi="Times New Roman" w:eastAsia="Times New Roman"/>
        <w:sz w:val="28"/>
      </w:rPr>
    </w:pPr>
    <w:r>
      <w:rPr>
        <w:rFonts w:eastAsia="Times New Roman" w:ascii="Times New Roman" w:hAnsi="Times New Roman"/>
        <w:sz w:val="28"/>
      </w:rPr>
      <w:fldChar w:fldCharType="begin"/>
    </w:r>
    <w:r>
      <w:rPr>
        <w:sz w:val="28"/>
        <w:rFonts w:eastAsia="Times New Roman" w:ascii="Times New Roman" w:hAnsi="Times New Roman"/>
      </w:rPr>
      <w:instrText> PAGE </w:instrText>
    </w:r>
    <w:r>
      <w:rPr>
        <w:sz w:val="28"/>
        <w:rFonts w:eastAsia="Times New Roman" w:ascii="Times New Roman" w:hAnsi="Times New Roman"/>
      </w:rPr>
      <w:fldChar w:fldCharType="separate"/>
    </w:r>
    <w:r>
      <w:rPr>
        <w:sz w:val="28"/>
        <w:rFonts w:eastAsia="Times New Roman" w:ascii="Times New Roman" w:hAnsi="Times New Roman"/>
      </w:rPr>
      <w:t>0</w:t>
    </w:r>
    <w:r>
      <w:rPr>
        <w:sz w:val="28"/>
        <w:rFonts w:eastAsia="Times New Roman" w:ascii="Times New Roman" w:hAnsi="Times New Roman"/>
      </w:rPr>
      <w:fldChar w:fldCharType="end"/>
    </w:r>
  </w:p>
  <w:p>
    <w:pPr>
      <w:pStyle w:val="Style29"/>
      <w:rPr>
        <w:rFonts w:ascii="Times New Roman" w:hAnsi="Times New Roman" w:eastAsia="Times New Roman"/>
        <w:sz w:val="28"/>
      </w:rPr>
    </w:pPr>
    <w:r>
      <w:rPr>
        <w:rFonts w:eastAsia="Times New Roman" w:ascii="Times New Roman" w:hAnsi="Times New Roman"/>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10784" w:hanging="720"/>
      </w:pPr>
      <w:rPr>
        <w:sz w:val="28"/>
        <w:b w:val="false"/>
        <w:szCs w:val="28"/>
        <w:color w:val="auto"/>
      </w:rPr>
    </w:lvl>
    <w:lvl w:ilvl="1">
      <w:start w:val="1"/>
      <w:numFmt w:val="decimal"/>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2">
    <w:lvl w:ilvl="0">
      <w:start w:val="1"/>
      <w:numFmt w:val="decimal"/>
      <w:lvlText w:val="%1)"/>
      <w:lvlJc w:val="left"/>
      <w:pPr>
        <w:tabs>
          <w:tab w:val="num" w:pos="0"/>
        </w:tabs>
        <w:ind w:left="1070" w:hanging="360"/>
      </w:pPr>
      <w:rPr>
        <w:sz w:val="28"/>
        <w:b w:val="false"/>
        <w:szCs w:val="28"/>
        <w:rFonts w:ascii="Times New Roman" w:hAnsi="Times New Roman" w:cs="Times New Roman"/>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lvl w:ilvl="0">
      <w:start w:val="1"/>
      <w:numFmt w:val="decimal"/>
      <w:lvlText w:val="%1)"/>
      <w:lvlJc w:val="left"/>
      <w:pPr>
        <w:tabs>
          <w:tab w:val="num" w:pos="0"/>
        </w:tabs>
        <w:ind w:left="928" w:hanging="360"/>
      </w:pPr>
    </w:lvl>
    <w:lvl w:ilvl="1">
      <w:start w:val="1"/>
      <w:numFmt w:val="lowerLetter"/>
      <w:lvlText w:val="%2."/>
      <w:lvlJc w:val="left"/>
      <w:pPr>
        <w:tabs>
          <w:tab w:val="num" w:pos="0"/>
        </w:tabs>
        <w:ind w:left="2265" w:hanging="360"/>
      </w:pPr>
    </w:lvl>
    <w:lvl w:ilvl="2">
      <w:start w:val="1"/>
      <w:numFmt w:val="lowerRoman"/>
      <w:lvlText w:val="%3."/>
      <w:lvlJc w:val="right"/>
      <w:pPr>
        <w:tabs>
          <w:tab w:val="num" w:pos="0"/>
        </w:tabs>
        <w:ind w:left="2985" w:hanging="180"/>
      </w:pPr>
    </w:lvl>
    <w:lvl w:ilvl="3">
      <w:start w:val="1"/>
      <w:numFmt w:val="decimal"/>
      <w:lvlText w:val="%4."/>
      <w:lvlJc w:val="left"/>
      <w:pPr>
        <w:tabs>
          <w:tab w:val="num" w:pos="0"/>
        </w:tabs>
        <w:ind w:left="3705" w:hanging="360"/>
      </w:pPr>
    </w:lvl>
    <w:lvl w:ilvl="4">
      <w:start w:val="1"/>
      <w:numFmt w:val="lowerLetter"/>
      <w:lvlText w:val="%5."/>
      <w:lvlJc w:val="left"/>
      <w:pPr>
        <w:tabs>
          <w:tab w:val="num" w:pos="0"/>
        </w:tabs>
        <w:ind w:left="4425" w:hanging="360"/>
      </w:pPr>
    </w:lvl>
    <w:lvl w:ilvl="5">
      <w:start w:val="1"/>
      <w:numFmt w:val="lowerRoman"/>
      <w:lvlText w:val="%6."/>
      <w:lvlJc w:val="right"/>
      <w:pPr>
        <w:tabs>
          <w:tab w:val="num" w:pos="0"/>
        </w:tabs>
        <w:ind w:left="5145" w:hanging="180"/>
      </w:pPr>
    </w:lvl>
    <w:lvl w:ilvl="6">
      <w:start w:val="1"/>
      <w:numFmt w:val="decimal"/>
      <w:lvlText w:val="%7."/>
      <w:lvlJc w:val="left"/>
      <w:pPr>
        <w:tabs>
          <w:tab w:val="num" w:pos="0"/>
        </w:tabs>
        <w:ind w:left="5865" w:hanging="360"/>
      </w:pPr>
    </w:lvl>
    <w:lvl w:ilvl="7">
      <w:start w:val="1"/>
      <w:numFmt w:val="lowerLetter"/>
      <w:lvlText w:val="%8."/>
      <w:lvlJc w:val="left"/>
      <w:pPr>
        <w:tabs>
          <w:tab w:val="num" w:pos="0"/>
        </w:tabs>
        <w:ind w:left="6585" w:hanging="360"/>
      </w:pPr>
    </w:lvl>
    <w:lvl w:ilvl="8">
      <w:start w:val="1"/>
      <w:numFmt w:val="lowerRoman"/>
      <w:lvlText w:val="%9."/>
      <w:lvlJc w:val="right"/>
      <w:pPr>
        <w:tabs>
          <w:tab w:val="num" w:pos="0"/>
        </w:tabs>
        <w:ind w:left="7305" w:hanging="180"/>
      </w:pPr>
    </w:lvl>
  </w:abstractNum>
  <w:abstractNum w:abstractNumId="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ind w:firstLine="709"/>
      <w:jc w:val="both"/>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0"/>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20"/>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0"/>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0"/>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0"/>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next w:val="Normal"/>
    <w:link w:val="70"/>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next w:val="Normal"/>
    <w:link w:val="80"/>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next w:val="Normal"/>
    <w:link w:val="90"/>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Pr>
      <w:rFonts w:ascii="Arial" w:hAnsi="Arial" w:eastAsia="Arial" w:cs="Arial"/>
      <w:sz w:val="40"/>
      <w:szCs w:val="40"/>
    </w:rPr>
  </w:style>
  <w:style w:type="character" w:styleId="21" w:customStyle="1">
    <w:name w:val="Заголовок 2 Знак"/>
    <w:basedOn w:val="DefaultParagraphFont"/>
    <w:link w:val="2"/>
    <w:uiPriority w:val="9"/>
    <w:qFormat/>
    <w:rPr>
      <w:rFonts w:ascii="Arial" w:hAnsi="Arial" w:eastAsia="Arial" w:cs="Arial"/>
      <w:sz w:val="34"/>
    </w:rPr>
  </w:style>
  <w:style w:type="character" w:styleId="31" w:customStyle="1">
    <w:name w:val="Заголовок 3 Знак"/>
    <w:basedOn w:val="DefaultParagraphFont"/>
    <w:link w:val="3"/>
    <w:uiPriority w:val="9"/>
    <w:qFormat/>
    <w:rPr>
      <w:rFonts w:ascii="Arial" w:hAnsi="Arial" w:eastAsia="Arial" w:cs="Arial"/>
      <w:sz w:val="30"/>
      <w:szCs w:val="30"/>
    </w:rPr>
  </w:style>
  <w:style w:type="character" w:styleId="41" w:customStyle="1">
    <w:name w:val="Заголовок 4 Знак"/>
    <w:basedOn w:val="DefaultParagraphFont"/>
    <w:link w:val="4"/>
    <w:uiPriority w:val="9"/>
    <w:qFormat/>
    <w:rPr>
      <w:rFonts w:ascii="Arial" w:hAnsi="Arial" w:eastAsia="Arial" w:cs="Arial"/>
      <w:b/>
      <w:bCs/>
      <w:sz w:val="26"/>
      <w:szCs w:val="26"/>
    </w:rPr>
  </w:style>
  <w:style w:type="character" w:styleId="51" w:customStyle="1">
    <w:name w:val="Заголовок 5 Знак"/>
    <w:basedOn w:val="DefaultParagraphFont"/>
    <w:link w:val="5"/>
    <w:uiPriority w:val="9"/>
    <w:qFormat/>
    <w:rPr>
      <w:rFonts w:ascii="Arial" w:hAnsi="Arial" w:eastAsia="Arial" w:cs="Arial"/>
      <w:b/>
      <w:bCs/>
      <w:sz w:val="24"/>
      <w:szCs w:val="24"/>
    </w:rPr>
  </w:style>
  <w:style w:type="character" w:styleId="61" w:customStyle="1">
    <w:name w:val="Заголовок 6 Знак"/>
    <w:basedOn w:val="DefaultParagraphFont"/>
    <w:link w:val="6"/>
    <w:uiPriority w:val="9"/>
    <w:qFormat/>
    <w:rPr>
      <w:rFonts w:ascii="Arial" w:hAnsi="Arial" w:eastAsia="Arial" w:cs="Arial"/>
      <w:b/>
      <w:bCs/>
      <w:sz w:val="22"/>
      <w:szCs w:val="22"/>
    </w:rPr>
  </w:style>
  <w:style w:type="character" w:styleId="71" w:customStyle="1">
    <w:name w:val="Заголовок 7 Знак"/>
    <w:basedOn w:val="DefaultParagraphFont"/>
    <w:link w:val="7"/>
    <w:uiPriority w:val="9"/>
    <w:qFormat/>
    <w:rPr>
      <w:rFonts w:ascii="Arial" w:hAnsi="Arial" w:eastAsia="Arial" w:cs="Arial"/>
      <w:b/>
      <w:bCs/>
      <w:i/>
      <w:iCs/>
      <w:sz w:val="22"/>
      <w:szCs w:val="22"/>
    </w:rPr>
  </w:style>
  <w:style w:type="character" w:styleId="81" w:customStyle="1">
    <w:name w:val="Заголовок 8 Знак"/>
    <w:basedOn w:val="DefaultParagraphFont"/>
    <w:link w:val="8"/>
    <w:uiPriority w:val="9"/>
    <w:qFormat/>
    <w:rPr>
      <w:rFonts w:ascii="Arial" w:hAnsi="Arial" w:eastAsia="Arial" w:cs="Arial"/>
      <w:i/>
      <w:iCs/>
      <w:sz w:val="22"/>
      <w:szCs w:val="22"/>
    </w:rPr>
  </w:style>
  <w:style w:type="character" w:styleId="91" w:customStyle="1">
    <w:name w:val="Заголовок 9 Знак"/>
    <w:basedOn w:val="DefaultParagraphFont"/>
    <w:link w:val="9"/>
    <w:uiPriority w:val="9"/>
    <w:qFormat/>
    <w:rPr>
      <w:rFonts w:ascii="Arial" w:hAnsi="Arial" w:eastAsia="Arial" w:cs="Arial"/>
      <w:i/>
      <w:iCs/>
      <w:sz w:val="21"/>
      <w:szCs w:val="21"/>
    </w:rPr>
  </w:style>
  <w:style w:type="character" w:styleId="Style5" w:customStyle="1">
    <w:name w:val="Название Знак"/>
    <w:basedOn w:val="DefaultParagraphFont"/>
    <w:link w:val="a4"/>
    <w:uiPriority w:val="10"/>
    <w:qFormat/>
    <w:rPr>
      <w:sz w:val="48"/>
      <w:szCs w:val="48"/>
    </w:rPr>
  </w:style>
  <w:style w:type="character" w:styleId="Style6" w:customStyle="1">
    <w:name w:val="Подзаголовок Знак"/>
    <w:basedOn w:val="DefaultParagraphFont"/>
    <w:link w:val="a6"/>
    <w:uiPriority w:val="11"/>
    <w:qFormat/>
    <w:rPr>
      <w:sz w:val="24"/>
      <w:szCs w:val="24"/>
    </w:rPr>
  </w:style>
  <w:style w:type="character" w:styleId="22" w:customStyle="1">
    <w:name w:val="Цитата 2 Знак"/>
    <w:link w:val="21"/>
    <w:uiPriority w:val="29"/>
    <w:qFormat/>
    <w:rPr>
      <w:i/>
    </w:rPr>
  </w:style>
  <w:style w:type="character" w:styleId="Style7" w:customStyle="1">
    <w:name w:val="Выделенная цитата Знак"/>
    <w:link w:val="a8"/>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8" w:customStyle="1">
    <w:name w:val="Текст концевой сноски Знак"/>
    <w:link w:val="ab"/>
    <w:uiPriority w:val="99"/>
    <w:qFormat/>
    <w:rPr>
      <w:sz w:val="20"/>
    </w:rPr>
  </w:style>
  <w:style w:type="character" w:styleId="Style9">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Style10" w:customStyle="1">
    <w:name w:val="Верхний колонтитул Знак"/>
    <w:basedOn w:val="DefaultParagraphFont"/>
    <w:link w:val="af0"/>
    <w:uiPriority w:val="99"/>
    <w:qFormat/>
    <w:rPr/>
  </w:style>
  <w:style w:type="character" w:styleId="Style11" w:customStyle="1">
    <w:name w:val="Нижний колонтитул Знак"/>
    <w:basedOn w:val="DefaultParagraphFont"/>
    <w:link w:val="af2"/>
    <w:uiPriority w:val="99"/>
    <w:semiHidden/>
    <w:qFormat/>
    <w:rPr/>
  </w:style>
  <w:style w:type="character" w:styleId="Style12" w:customStyle="1">
    <w:name w:val="Основной текст Знак"/>
    <w:link w:val="af6"/>
    <w:qFormat/>
    <w:rPr>
      <w:rFonts w:ascii="Calibri" w:hAnsi="Calibri" w:cs="Calibri"/>
      <w:shd w:fill="FFFFFF" w:val="clear"/>
    </w:rPr>
  </w:style>
  <w:style w:type="character" w:styleId="12" w:customStyle="1">
    <w:name w:val="Основной текст Знак1"/>
    <w:basedOn w:val="DefaultParagraphFont"/>
    <w:uiPriority w:val="99"/>
    <w:semiHidden/>
    <w:qFormat/>
    <w:rPr/>
  </w:style>
  <w:style w:type="character" w:styleId="Appleconvertedspace" w:customStyle="1">
    <w:name w:val="apple-converted-space"/>
    <w:basedOn w:val="DefaultParagraphFont"/>
    <w:qFormat/>
    <w:rPr/>
  </w:style>
  <w:style w:type="character" w:styleId="Style13" w:customStyle="1">
    <w:name w:val="Текст сноски Знак"/>
    <w:link w:val="af9"/>
    <w:uiPriority w:val="99"/>
    <w:qFormat/>
    <w:rPr>
      <w:rFonts w:ascii="Times New Roman" w:hAnsi="Times New Roman" w:eastAsia="Times New Roman" w:cs="Times New Roman"/>
      <w:sz w:val="20"/>
      <w:szCs w:val="20"/>
      <w:lang w:eastAsia="ru-RU"/>
    </w:rPr>
  </w:style>
  <w:style w:type="character" w:styleId="Style14">
    <w:name w:val="Привязка сноски"/>
    <w:rPr>
      <w:vertAlign w:val="superscript"/>
    </w:rPr>
  </w:style>
  <w:style w:type="character" w:styleId="FootnoteCharacters">
    <w:name w:val="Footnote Characters"/>
    <w:uiPriority w:val="99"/>
    <w:semiHidden/>
    <w:qFormat/>
    <w:rPr>
      <w:vertAlign w:val="superscript"/>
    </w:rPr>
  </w:style>
  <w:style w:type="character" w:styleId="FontStyle12" w:customStyle="1">
    <w:name w:val="Font Style12"/>
    <w:qFormat/>
    <w:rPr>
      <w:rFonts w:ascii="Times New Roman" w:hAnsi="Times New Roman" w:cs="Times New Roman"/>
      <w:sz w:val="24"/>
      <w:szCs w:val="24"/>
    </w:rPr>
  </w:style>
  <w:style w:type="character" w:styleId="Style15" w:customStyle="1">
    <w:name w:val="Основной текст_"/>
    <w:link w:val="14"/>
    <w:qFormat/>
    <w:rPr>
      <w:sz w:val="28"/>
      <w:szCs w:val="28"/>
      <w:shd w:fill="FFFFFF" w:val="clear"/>
    </w:rPr>
  </w:style>
  <w:style w:type="character" w:styleId="Style16" w:customStyle="1">
    <w:name w:val="Текст выноски Знак"/>
    <w:link w:val="afd"/>
    <w:uiPriority w:val="99"/>
    <w:semiHidden/>
    <w:qFormat/>
    <w:rPr>
      <w:rFonts w:ascii="Tahoma" w:hAnsi="Tahoma" w:cs="Tahoma"/>
      <w:sz w:val="16"/>
      <w:szCs w:val="16"/>
    </w:rPr>
  </w:style>
  <w:style w:type="character" w:styleId="Annotationreference">
    <w:name w:val="annotation reference"/>
    <w:uiPriority w:val="99"/>
    <w:semiHidden/>
    <w:unhideWhenUsed/>
    <w:qFormat/>
    <w:rPr>
      <w:sz w:val="16"/>
      <w:szCs w:val="16"/>
    </w:rPr>
  </w:style>
  <w:style w:type="character" w:styleId="Style17" w:customStyle="1">
    <w:name w:val="Текст примечания Знак"/>
    <w:link w:val="aff0"/>
    <w:uiPriority w:val="99"/>
    <w:qFormat/>
    <w:rPr>
      <w:sz w:val="20"/>
      <w:szCs w:val="20"/>
    </w:rPr>
  </w:style>
  <w:style w:type="character" w:styleId="Style18" w:customStyle="1">
    <w:name w:val="Тема примечания Знак"/>
    <w:link w:val="aff2"/>
    <w:uiPriority w:val="99"/>
    <w:semiHidden/>
    <w:qFormat/>
    <w:rPr>
      <w:b/>
      <w:bCs/>
      <w:sz w:val="20"/>
      <w:szCs w:val="20"/>
    </w:rPr>
  </w:style>
  <w:style w:type="character" w:styleId="111" w:customStyle="1">
    <w:name w:val="Основной текст Знак11"/>
    <w:uiPriority w:val="99"/>
    <w:semiHidden/>
    <w:qFormat/>
    <w:rPr>
      <w:rFonts w:cs="Times New Roman"/>
    </w:rPr>
  </w:style>
  <w:style w:type="character" w:styleId="Style19">
    <w:name w:val="Интернет-ссылка"/>
    <w:basedOn w:val="DefaultParagraphFont"/>
    <w:uiPriority w:val="99"/>
    <w:unhideWhenUsed/>
    <w:rPr>
      <w:color w:val="0563C1" w:themeColor="hyperlink"/>
      <w:u w:val="single"/>
    </w:rPr>
  </w:style>
  <w:style w:type="character" w:styleId="FontStyle33" w:customStyle="1">
    <w:name w:val="Font Style33"/>
    <w:basedOn w:val="DefaultParagraphFont"/>
    <w:uiPriority w:val="99"/>
    <w:qFormat/>
    <w:rPr>
      <w:rFonts w:ascii="Times New Roman" w:hAnsi="Times New Roman" w:cs="Times New Roman"/>
      <w:sz w:val="28"/>
      <w:szCs w:val="28"/>
    </w:rPr>
  </w:style>
  <w:style w:type="paragraph" w:styleId="Style20">
    <w:name w:val="Заголовок"/>
    <w:basedOn w:val="Normal"/>
    <w:next w:val="Style21"/>
    <w:qFormat/>
    <w:pPr>
      <w:keepNext w:val="true"/>
      <w:spacing w:before="240" w:after="120"/>
    </w:pPr>
    <w:rPr>
      <w:rFonts w:ascii="Liberation Sans" w:hAnsi="Liberation Sans" w:eastAsia="Microsoft YaHei" w:cs="Arial Unicode MS"/>
      <w:sz w:val="28"/>
      <w:szCs w:val="28"/>
    </w:rPr>
  </w:style>
  <w:style w:type="paragraph" w:styleId="Style21">
    <w:name w:val="Body Text"/>
    <w:basedOn w:val="Normal"/>
    <w:link w:val="af5"/>
    <w:pPr>
      <w:widowControl w:val="false"/>
      <w:shd w:val="clear" w:color="auto" w:fill="FFFFFF"/>
      <w:spacing w:lineRule="exact" w:line="298" w:before="0" w:after="780"/>
      <w:ind w:hanging="1600"/>
    </w:pPr>
    <w:rPr>
      <w:rFonts w:cs="Calibri"/>
    </w:rPr>
  </w:style>
  <w:style w:type="paragraph" w:styleId="Style22">
    <w:name w:val="List"/>
    <w:basedOn w:val="Style21"/>
    <w:pPr>
      <w:shd w:fill="FFFFFF" w:val="clear"/>
    </w:pPr>
    <w:rPr>
      <w:rFonts w:cs="Arial Unicode MS"/>
    </w:rPr>
  </w:style>
  <w:style w:type="paragraph" w:styleId="Style23">
    <w:name w:val="Caption"/>
    <w:basedOn w:val="Normal"/>
    <w:qFormat/>
    <w:pPr>
      <w:suppressLineNumbers/>
      <w:spacing w:before="120" w:after="120"/>
    </w:pPr>
    <w:rPr>
      <w:rFonts w:cs="Arial Unicode MS"/>
      <w:i/>
      <w:iCs/>
      <w:sz w:val="24"/>
      <w:szCs w:val="24"/>
    </w:rPr>
  </w:style>
  <w:style w:type="paragraph" w:styleId="Style24">
    <w:name w:val="Указатель"/>
    <w:basedOn w:val="Normal"/>
    <w:qFormat/>
    <w:pPr>
      <w:suppressLineNumbers/>
    </w:pPr>
    <w:rPr>
      <w:rFonts w:cs="Arial Unicode MS"/>
    </w:rPr>
  </w:style>
  <w:style w:type="paragraph" w:styleId="NoSpacing">
    <w:name w:val="No Spacing"/>
    <w:uiPriority w:val="1"/>
    <w:qFormat/>
    <w:pPr>
      <w:widowControl/>
      <w:bidi w:val="0"/>
      <w:spacing w:before="0" w:after="0"/>
      <w:jc w:val="left"/>
    </w:pPr>
    <w:rPr>
      <w:rFonts w:ascii="Calibri" w:hAnsi="Calibri" w:eastAsia="Calibri" w:cs="Times New Roman"/>
      <w:color w:val="auto"/>
      <w:kern w:val="0"/>
      <w:sz w:val="20"/>
      <w:szCs w:val="20"/>
      <w:lang w:val="ru-RU" w:eastAsia="ru-RU" w:bidi="ar-SA"/>
    </w:rPr>
  </w:style>
  <w:style w:type="paragraph" w:styleId="Style25">
    <w:name w:val="Title"/>
    <w:basedOn w:val="Normal"/>
    <w:next w:val="Normal"/>
    <w:link w:val="a5"/>
    <w:uiPriority w:val="10"/>
    <w:qFormat/>
    <w:pPr>
      <w:spacing w:before="300" w:after="200"/>
      <w:contextualSpacing/>
    </w:pPr>
    <w:rPr>
      <w:sz w:val="48"/>
      <w:szCs w:val="48"/>
    </w:rPr>
  </w:style>
  <w:style w:type="paragraph" w:styleId="Style26">
    <w:name w:val="Subtitle"/>
    <w:basedOn w:val="Normal"/>
    <w:next w:val="Normal"/>
    <w:link w:val="a7"/>
    <w:uiPriority w:val="11"/>
    <w:qFormat/>
    <w:pPr>
      <w:spacing w:before="200" w:after="200"/>
    </w:pPr>
    <w:rPr>
      <w:sz w:val="24"/>
      <w:szCs w:val="24"/>
    </w:rPr>
  </w:style>
  <w:style w:type="paragraph" w:styleId="Quote">
    <w:name w:val="Quote"/>
    <w:basedOn w:val="Normal"/>
    <w:next w:val="Normal"/>
    <w:link w:val="22"/>
    <w:uiPriority w:val="29"/>
    <w:qFormat/>
    <w:pPr>
      <w:ind w:left="720" w:right="720" w:firstLine="709"/>
    </w:pPr>
    <w:rPr>
      <w:i/>
    </w:rPr>
  </w:style>
  <w:style w:type="paragraph" w:styleId="IntenseQuote">
    <w:name w:val="Intense Quote"/>
    <w:basedOn w:val="Normal"/>
    <w:next w:val="Normal"/>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firstLine="709"/>
    </w:pPr>
    <w:rPr>
      <w:i/>
    </w:rPr>
  </w:style>
  <w:style w:type="paragraph" w:styleId="Caption">
    <w:name w:val="caption"/>
    <w:basedOn w:val="Normal"/>
    <w:next w:val="Normal"/>
    <w:uiPriority w:val="35"/>
    <w:semiHidden/>
    <w:unhideWhenUsed/>
    <w:qFormat/>
    <w:pPr>
      <w:spacing w:lineRule="auto" w:line="276"/>
    </w:pPr>
    <w:rPr>
      <w:b/>
      <w:bCs/>
      <w:color w:val="5B9BD5" w:themeColor="accent1"/>
      <w:sz w:val="18"/>
      <w:szCs w:val="18"/>
    </w:rPr>
  </w:style>
  <w:style w:type="paragraph" w:styleId="Style27">
    <w:name w:val="Endnote Text"/>
    <w:basedOn w:val="Normal"/>
    <w:link w:val="ac"/>
    <w:uiPriority w:val="99"/>
    <w:semiHidden/>
    <w:unhideWhenUsed/>
    <w:pPr/>
    <w:rPr>
      <w:sz w:val="20"/>
    </w:rPr>
  </w:style>
  <w:style w:type="paragraph" w:styleId="13">
    <w:name w:val="TOC 1"/>
    <w:basedOn w:val="Normal"/>
    <w:next w:val="Normal"/>
    <w:uiPriority w:val="39"/>
    <w:unhideWhenUsed/>
    <w:pPr>
      <w:spacing w:before="0" w:after="57"/>
      <w:ind w:hanging="0"/>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bidi w:val="0"/>
      <w:spacing w:before="0" w:after="0"/>
      <w:jc w:val="left"/>
    </w:pPr>
    <w:rPr>
      <w:rFonts w:ascii="Calibri" w:hAnsi="Calibri" w:eastAsia="Calibri" w:cs="Times New Roman"/>
      <w:color w:val="auto"/>
      <w:kern w:val="0"/>
      <w:sz w:val="20"/>
      <w:szCs w:val="20"/>
      <w:lang w:val="ru-RU" w:eastAsia="ru-RU" w:bidi="ar-SA"/>
    </w:rPr>
  </w:style>
  <w:style w:type="paragraph" w:styleId="Tableoffigures">
    <w:name w:val="table of figures"/>
    <w:basedOn w:val="Normal"/>
    <w:next w:val="Normal"/>
    <w:uiPriority w:val="99"/>
    <w:unhideWhenUsed/>
    <w:qFormat/>
    <w:pPr/>
    <w:rPr/>
  </w:style>
  <w:style w:type="paragraph" w:styleId="Style28">
    <w:name w:val="Верхний и нижний колонтитулы"/>
    <w:basedOn w:val="Normal"/>
    <w:qFormat/>
    <w:pPr/>
    <w:rPr/>
  </w:style>
  <w:style w:type="paragraph" w:styleId="Style29">
    <w:name w:val="Header"/>
    <w:basedOn w:val="Normal"/>
    <w:link w:val="af1"/>
    <w:uiPriority w:val="99"/>
    <w:unhideWhenUsed/>
    <w:pPr>
      <w:tabs>
        <w:tab w:val="clear" w:pos="709"/>
        <w:tab w:val="center" w:pos="4677" w:leader="none"/>
        <w:tab w:val="right" w:pos="9355" w:leader="none"/>
      </w:tabs>
    </w:pPr>
    <w:rPr/>
  </w:style>
  <w:style w:type="paragraph" w:styleId="Style30">
    <w:name w:val="Footer"/>
    <w:basedOn w:val="Normal"/>
    <w:link w:val="af3"/>
    <w:uiPriority w:val="99"/>
    <w:semiHidden/>
    <w:unhideWhenUsed/>
    <w:pPr>
      <w:tabs>
        <w:tab w:val="clear" w:pos="709"/>
        <w:tab w:val="center" w:pos="4677" w:leader="none"/>
        <w:tab w:val="right" w:pos="9355" w:leader="none"/>
      </w:tabs>
    </w:pPr>
    <w:rPr/>
  </w:style>
  <w:style w:type="paragraph" w:styleId="ConsPlusNonformat" w:customStyle="1">
    <w:name w:val="ConsPlusNonformat"/>
    <w:uiPriority w:val="99"/>
    <w:qFormat/>
    <w:pPr>
      <w:widowControl/>
      <w:bidi w:val="0"/>
      <w:spacing w:before="0" w:after="0"/>
      <w:ind w:firstLine="709"/>
      <w:jc w:val="both"/>
    </w:pPr>
    <w:rPr>
      <w:rFonts w:ascii="Courier New" w:hAnsi="Courier New" w:cs="Courier New" w:eastAsia="Calibri"/>
      <w:color w:val="auto"/>
      <w:kern w:val="0"/>
      <w:sz w:val="20"/>
      <w:szCs w:val="20"/>
      <w:lang w:eastAsia="en-US" w:val="ru-RU" w:bidi="ar-SA"/>
    </w:rPr>
  </w:style>
  <w:style w:type="paragraph" w:styleId="ListParagraph">
    <w:name w:val="List Paragraph"/>
    <w:basedOn w:val="Normal"/>
    <w:uiPriority w:val="34"/>
    <w:qFormat/>
    <w:pPr>
      <w:spacing w:before="0" w:after="0"/>
      <w:ind w:left="720" w:firstLine="709"/>
      <w:contextualSpacing/>
    </w:pPr>
    <w:rPr/>
  </w:style>
  <w:style w:type="paragraph" w:styleId="Default" w:customStyle="1">
    <w:name w:val="Default"/>
    <w:qFormat/>
    <w:pPr>
      <w:widowControl/>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pPr>
      <w:spacing w:before="240" w:after="240"/>
    </w:pPr>
    <w:rPr>
      <w:rFonts w:ascii="Times New Roman" w:hAnsi="Times New Roman" w:eastAsia="Times New Roman"/>
      <w:sz w:val="24"/>
      <w:szCs w:val="24"/>
      <w:lang w:eastAsia="ru-RU"/>
    </w:rPr>
  </w:style>
  <w:style w:type="paragraph" w:styleId="Style31">
    <w:name w:val="Footnote Text"/>
    <w:basedOn w:val="Normal"/>
    <w:link w:val="afa"/>
    <w:uiPriority w:val="99"/>
    <w:pPr/>
    <w:rPr>
      <w:rFonts w:ascii="Times New Roman" w:hAnsi="Times New Roman" w:eastAsia="Times New Roman"/>
      <w:sz w:val="20"/>
      <w:szCs w:val="20"/>
      <w:lang w:eastAsia="ru-RU"/>
    </w:rPr>
  </w:style>
  <w:style w:type="paragraph" w:styleId="14" w:customStyle="1">
    <w:name w:val="Основной текст1"/>
    <w:basedOn w:val="Normal"/>
    <w:link w:val="afc"/>
    <w:qFormat/>
    <w:pPr>
      <w:shd w:val="clear" w:color="auto" w:fill="FFFFFF"/>
      <w:spacing w:lineRule="atLeast" w:line="0" w:before="0" w:after="420"/>
      <w:ind w:hanging="420"/>
      <w:jc w:val="center"/>
    </w:pPr>
    <w:rPr>
      <w:sz w:val="28"/>
      <w:szCs w:val="28"/>
    </w:rPr>
  </w:style>
  <w:style w:type="paragraph" w:styleId="BalloonText">
    <w:name w:val="Balloon Text"/>
    <w:basedOn w:val="Normal"/>
    <w:link w:val="afe"/>
    <w:uiPriority w:val="99"/>
    <w:semiHidden/>
    <w:unhideWhenUsed/>
    <w:qFormat/>
    <w:pPr/>
    <w:rPr>
      <w:rFonts w:ascii="Tahoma" w:hAnsi="Tahoma" w:cs="Tahoma"/>
      <w:sz w:val="16"/>
      <w:szCs w:val="16"/>
    </w:rPr>
  </w:style>
  <w:style w:type="paragraph" w:styleId="Annotationtext">
    <w:name w:val="annotation text"/>
    <w:basedOn w:val="Normal"/>
    <w:link w:val="aff1"/>
    <w:uiPriority w:val="99"/>
    <w:unhideWhenUsed/>
    <w:qFormat/>
    <w:pPr/>
    <w:rPr>
      <w:sz w:val="20"/>
      <w:szCs w:val="20"/>
    </w:rPr>
  </w:style>
  <w:style w:type="paragraph" w:styleId="Annotationsubject">
    <w:name w:val="annotation subject"/>
    <w:basedOn w:val="Annotationtext"/>
    <w:next w:val="Annotationtext"/>
    <w:link w:val="aff3"/>
    <w:uiPriority w:val="99"/>
    <w:semiHidden/>
    <w:unhideWhenUsed/>
    <w:qFormat/>
    <w:pPr/>
    <w:rPr>
      <w:b/>
      <w:bCs/>
    </w:rPr>
  </w:style>
  <w:style w:type="paragraph" w:styleId="ConsPlusNormal" w:customStyle="1">
    <w:name w:val="ConsPlusNormal"/>
    <w:qFormat/>
    <w:pPr>
      <w:widowControl/>
      <w:bidi w:val="0"/>
      <w:spacing w:before="0" w:after="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11">
    <w:name w:val="Таблица простая 1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210">
    <w:name w:val="Таблица простая 21"/>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
    <w:name w:val="Таблица простая 31"/>
    <w:basedOn w:val="a1"/>
    <w:uiPriority w:val="99"/>
    <w:tblPr>
      <w:tblStyleRowBandSize w:val="1"/>
      <w:tblStyleColBandSize w:val="1"/>
      <w:tblCellMar>
        <w:top w:w="0" w:type="dxa"/>
        <w:left w:w="108" w:type="dxa"/>
        <w:bottom w:w="0" w:type="dxa"/>
        <w:right w:w="108"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41">
    <w:name w:val="Таблица простая 41"/>
    <w:basedOn w:val="a1"/>
    <w:uiPriority w:val="99"/>
    <w:tblPr>
      <w:tblStyleRowBandSize w:val="1"/>
      <w:tblStyleColBandSize w:val="1"/>
      <w:tblCellMar>
        <w:top w:w="0" w:type="dxa"/>
        <w:left w:w="108" w:type="dxa"/>
        <w:bottom w:w="0" w:type="dxa"/>
        <w:right w:w="108"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51">
    <w:name w:val="Таблица простая 51"/>
    <w:basedOn w:val="a1"/>
    <w:uiPriority w:val="99"/>
    <w:tblPr>
      <w:tblStyleRowBandSize w:val="1"/>
      <w:tblStyleColBandSize w:val="1"/>
      <w:tblCellMar>
        <w:top w:w="0" w:type="dxa"/>
        <w:left w:w="108" w:type="dxa"/>
        <w:bottom w:w="0" w:type="dxa"/>
        <w:right w:w="108"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11">
    <w:name w:val="Таблица-сетка 1 светлая1"/>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108" w:type="dxa"/>
        <w:bottom w:w="0" w:type="dxa"/>
        <w:right w:w="108"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108" w:type="dxa"/>
        <w:bottom w:w="0" w:type="dxa"/>
        <w:right w:w="108" w:type="dxa"/>
      </w:tblCellMar>
    </w:tblPr>
    <w:tblStylePr w:type="firstRow">
      <w:rPr>
        <w:b/>
        <w:color w:val="404040"/>
      </w:rPr>
      <w:tblPr/>
      <w:tcPr>
        <w:tcBorders>
          <w:bottom w:val="single" w:color="9EC4E6"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top w:w="0" w:type="dxa"/>
        <w:left w:w="108" w:type="dxa"/>
        <w:bottom w:w="0" w:type="dxa"/>
        <w:right w:w="108" w:type="dxa"/>
      </w:tblCellMar>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CellMar>
        <w:top w:w="0" w:type="dxa"/>
        <w:left w:w="108" w:type="dxa"/>
        <w:bottom w:w="0" w:type="dxa"/>
        <w:right w:w="108" w:type="dxa"/>
      </w:tblCellMar>
    </w:tblPr>
    <w:tblStylePr w:type="firstRow">
      <w:rPr>
        <w:b/>
        <w:color w:val="404040"/>
      </w:rPr>
      <w:tblPr/>
      <w:tcPr>
        <w:tcBorders>
          <w:bottom w:val="single" w:color="91ACDC"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customStyle="1" w:styleId="-21">
    <w:name w:val="Таблица-сетка 2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color w:val="404040"/>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108" w:type="dxa"/>
        <w:bottom w:w="0" w:type="dxa"/>
        <w:right w:w="108"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CellMar>
        <w:top w:w="0" w:type="dxa"/>
        <w:left w:w="108" w:type="dxa"/>
        <w:bottom w:w="0" w:type="dxa"/>
        <w:right w:w="108" w:type="dxa"/>
      </w:tblCellMar>
    </w:tblPr>
    <w:tblStylePr w:type="firstRow">
      <w:rPr>
        <w:b/>
        <w:color w:val="FFFFFF"/>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color w:val="404040"/>
      </w:rPr>
      <w:tblPr/>
      <w:tcPr>
        <w:tcBorders>
          <w:top w:val="single" w:color="68A2D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top w:w="0" w:type="dxa"/>
        <w:left w:w="108" w:type="dxa"/>
        <w:bottom w:w="0" w:type="dxa"/>
        <w:right w:w="108" w:type="dxa"/>
      </w:tblCellMar>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top w:w="0" w:type="dxa"/>
        <w:left w:w="108" w:type="dxa"/>
        <w:bottom w:w="0" w:type="dxa"/>
        <w:right w:w="108" w:type="dxa"/>
      </w:tblCellMar>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CellMar>
        <w:top w:w="0" w:type="dxa"/>
        <w:left w:w="108" w:type="dxa"/>
        <w:bottom w:w="0" w:type="dxa"/>
        <w:right w:w="108" w:type="dxa"/>
      </w:tblCellMar>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108" w:type="dxa"/>
        <w:bottom w:w="0" w:type="dxa"/>
        <w:right w:w="108" w:type="dxa"/>
      </w:tblCellMar>
    </w:tbl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color w:val="404040"/>
      </w:rPr>
      <w:tblPr/>
      <w:tcPr>
        <w:tcBorders>
          <w:top w:val="single" w:color="4472C4"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5B9BD5" w:fill="5B9BD5" w:themeFill="accent1"/>
      </w:tcPr>
    </w:tblStylePr>
    <w:tblStylePr w:type="lastRow">
      <w:rPr>
        <w:b/>
        <w:color w:val="FFFFFF"/>
        <w:sz w:val="22"/>
      </w:rPr>
      <w:tblPr/>
      <w:tcPr>
        <w:tcBorders>
          <w:top w:val="single" w:color="FFFFFF" w:themeColor="light1" w:sz="4" w:space="0"/>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4472C4" w:fill="4472C4" w:themeFill="accent5"/>
      </w:tcPr>
    </w:tblStylePr>
    <w:tblStylePr w:type="lastRow">
      <w:rPr>
        <w:b/>
        <w:color w:val="FFFFFF"/>
        <w:sz w:val="22"/>
      </w:rPr>
      <w:tblPr/>
      <w:tcPr>
        <w:tcBorders>
          <w:top w:val="single" w:color="FFFFFF" w:themeColor="light1" w:sz="4" w:space="0"/>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CellMar>
        <w:top w:w="0" w:type="dxa"/>
        <w:left w:w="108" w:type="dxa"/>
        <w:bottom w:w="0" w:type="dxa"/>
        <w:right w:w="108" w:type="dxa"/>
      </w:tblCellMar>
    </w:tblPr>
    <w:tblStylePr w:type="firstRow">
      <w:rPr>
        <w:b/>
        <w:color w:val="ACCCEA" w:themeColor="accent1" w:themeTint="80" w:themeShade="95"/>
      </w:rPr>
      <w:tblPr/>
      <w:tcPr>
        <w:tcBorders>
          <w:bottom w:val="single" w:color="ACCCEA" w:themeColor="accent1" w:sz="12" w:space="0"/>
        </w:tcBorders>
      </w:tcPr>
    </w:tblStylePr>
    <w:tblStylePr w:type="lastRow">
      <w:rPr>
        <w:b/>
        <w:color w:val="ACCCEA" w:themeColor="accent1" w:themeTint="80" w:themeShade="95"/>
      </w:rPr>
      <w:tblPr/>
    </w:tblStylePr>
    <w:tblStylePr w:type="firstCol">
      <w:rPr>
        <w:b/>
        <w:color w:val="ACCCEA" w:themeColor="accent1" w:themeTint="80" w:themeShade="95"/>
      </w:rPr>
      <w:tblPr/>
    </w:tblStylePr>
    <w:tblStylePr w:type="lastCol">
      <w:rPr>
        <w:b/>
        <w:color w:val="ACCCEA" w:themeColor="accent1" w:themeTint="80" w:themeShade="95"/>
      </w:rPr>
      <w:tbl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top w:w="0" w:type="dxa"/>
        <w:left w:w="108" w:type="dxa"/>
        <w:bottom w:w="0" w:type="dxa"/>
        <w:right w:w="108" w:type="dxa"/>
      </w:tblCellMar>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top w:w="0" w:type="dxa"/>
        <w:left w:w="108" w:type="dxa"/>
        <w:bottom w:w="0" w:type="dxa"/>
        <w:right w:w="108" w:type="dxa"/>
      </w:tblCellMar>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254175" w:themeColor="accent5" w:themeShade="95"/>
      </w:rPr>
      <w:tblPr/>
      <w:tcPr>
        <w:tcBorders>
          <w:bottom w:val="single" w:color="4472C4" w:themeColor="accent5"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254175" w:themeColor="accent5" w:themeShade="95"/>
      </w:rPr>
      <w:tblPr/>
      <w:tcPr>
        <w:tcBorders>
          <w:bottom w:val="single" w:color="70AD47" w:themeColor="accent6"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Pr/>
    </w:tblStylePr>
  </w:style>
  <w:style w:type="table" w:customStyle="1" w:styleId="-71">
    <w:name w:val="Таблица-сетка 7 цветная1"/>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CellMar>
        <w:top w:w="0" w:type="dxa"/>
        <w:left w:w="108" w:type="dxa"/>
        <w:bottom w:w="0" w:type="dxa"/>
        <w:right w:w="108" w:type="dxa"/>
      </w:tblCellMar>
    </w:tblPr>
    <w:tblStylePr w:type="firstRow">
      <w:rPr>
        <w:b/>
        <w:color w:val="ACCCEA" w:themeColor="accent1" w:themeTint="80" w:themeShade="95"/>
        <w:sz w:val="22"/>
      </w:rPr>
      <w:tblPr/>
      <w:tcPr>
        <w:tcBorders>
          <w:top w:val="none" w:color="auto" w:sz="0" w:space="0"/>
          <w:left w:val="none" w:color="auto" w:sz="0" w:space="0"/>
          <w:bottom w:val="single" w:color="ACCCEA" w:themeColor="accent1" w:sz="4" w:space="0"/>
          <w:right w:val="none" w:color="auto" w:sz="0" w:space="0"/>
        </w:tcBorders>
        <w:shd w:val="clear" w:color="FFFFFF" w:fill="FFFFFF" w:themeFill="light1"/>
      </w:tcPr>
    </w:tblStylePr>
    <w:tblStylePr w:type="lastRow">
      <w:rPr>
        <w:b/>
        <w:color w:val="ACCCEA" w:themeColor="accent1" w:themeTint="80" w:themeShade="95"/>
        <w:sz w:val="22"/>
      </w:rPr>
      <w:tblPr/>
      <w:tcPr>
        <w:tcBorders>
          <w:top w:val="single" w:color="ACCCEA"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CCCEA" w:themeColor="accent1" w:themeTint="80" w:themeShade="95"/>
        <w:sz w:val="22"/>
      </w:rPr>
      <w:tblPr/>
      <w:tcPr>
        <w:tcBorders>
          <w:top w:val="none" w:color="auto" w:sz="0" w:space="0"/>
          <w:left w:val="none" w:color="auto" w:sz="0" w:space="0"/>
          <w:bottom w:val="none" w:color="auto" w:sz="0" w:space="0"/>
          <w:right w:val="single" w:color="ACCCEA" w:themeColor="accent1" w:sz="4" w:space="0"/>
        </w:tcBorders>
        <w:shd w:val="clear" w:color="FFFFFF" w:fill="auto"/>
      </w:tcPr>
    </w:tblStylePr>
    <w:tblStylePr w:type="lastCol">
      <w:rPr>
        <w:i/>
        <w:color w:val="ACCCEA" w:themeColor="accent1" w:themeTint="80" w:themeShade="95"/>
        <w:sz w:val="22"/>
      </w:rPr>
      <w:tblPr/>
      <w:tcPr>
        <w:tcBorders>
          <w:top w:val="none" w:color="auto" w:sz="0" w:space="0"/>
          <w:left w:val="single" w:color="ACCCEA" w:themeColor="accent1" w:sz="4" w:space="0"/>
          <w:bottom w:val="none" w:color="auto" w:sz="0" w:space="0"/>
          <w:right w:val="none" w:color="auto" w:sz="0" w:space="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top w:w="0" w:type="dxa"/>
        <w:left w:w="108" w:type="dxa"/>
        <w:bottom w:w="0" w:type="dxa"/>
        <w:right w:w="108" w:type="dxa"/>
      </w:tblCellMar>
    </w:tblPr>
    <w:tblStylePr w:type="firstRow">
      <w:rPr>
        <w:b/>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A5A5A5"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5A5A5"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top w:w="0" w:type="dxa"/>
        <w:left w:w="108" w:type="dxa"/>
        <w:bottom w:w="0" w:type="dxa"/>
        <w:right w:w="108" w:type="dxa"/>
      </w:tblCellMar>
    </w:tblPr>
    <w:tblStylePr w:type="firstRow">
      <w:rPr>
        <w:b/>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108" w:type="dxa"/>
        <w:bottom w:w="0" w:type="dxa"/>
        <w:right w:w="108" w:type="dxa"/>
      </w:tblCellMar>
    </w:tblPr>
    <w:tblStylePr w:type="firstRow">
      <w:rPr>
        <w:b/>
        <w:color w:val="254175" w:themeColor="accent5" w:themeShade="95"/>
        <w:sz w:val="22"/>
      </w:rPr>
      <w:tblPr/>
      <w:tcPr>
        <w:tcBorders>
          <w:top w:val="none" w:color="auto" w:sz="0" w:space="0"/>
          <w:left w:val="none" w:color="auto" w:sz="0" w:space="0"/>
          <w:bottom w:val="single" w:color="95AFDD" w:themeColor="accent5" w:sz="4" w:space="0"/>
          <w:right w:val="none" w:color="auto" w:sz="0" w:space="0"/>
        </w:tcBorders>
        <w:shd w:val="clear" w:color="FFFFFF" w:fill="FFFFFF" w:themeFill="light1"/>
      </w:tcPr>
    </w:tblStylePr>
    <w:tblStylePr w:type="lastRow">
      <w:rPr>
        <w:b/>
        <w:color w:val="254175" w:themeColor="accent5" w:themeShade="95"/>
        <w:sz w:val="22"/>
      </w:rPr>
      <w:tblPr/>
      <w:tcPr>
        <w:tcBorders>
          <w:top w:val="single" w:color="95AFDD"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54175" w:themeColor="accent5" w:themeShade="95"/>
        <w:sz w:val="22"/>
      </w:rPr>
      <w:tblPr/>
      <w:tcPr>
        <w:tcBorders>
          <w:top w:val="none" w:color="auto" w:sz="0" w:space="0"/>
          <w:left w:val="none" w:color="auto" w:sz="0" w:space="0"/>
          <w:bottom w:val="none" w:color="auto" w:sz="0" w:space="0"/>
          <w:right w:val="single" w:color="95AFDD" w:themeColor="accent5" w:sz="4" w:space="0"/>
        </w:tcBorders>
        <w:shd w:val="clear" w:color="FFFFFF" w:fill="auto"/>
      </w:tcPr>
    </w:tblStylePr>
    <w:tblStylePr w:type="lastCol">
      <w:rPr>
        <w:i/>
        <w:color w:val="254175" w:themeColor="accent5" w:themeShade="95"/>
        <w:sz w:val="22"/>
      </w:rPr>
      <w:tblPr/>
      <w:tcPr>
        <w:tcBorders>
          <w:top w:val="none" w:color="auto" w:sz="0" w:space="0"/>
          <w:left w:val="single" w:color="95AFDD" w:themeColor="accent5" w:sz="4" w:space="0"/>
          <w:bottom w:val="none" w:color="auto" w:sz="0" w:space="0"/>
          <w:right w:val="none" w:color="auto" w:sz="0" w:space="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b/>
        <w:color w:val="416429"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416429"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Pr/>
    </w:tblStylePr>
  </w:style>
  <w:style w:type="table" w:customStyle="1" w:styleId="-110">
    <w:name w:val="Список-таблица 1 светлая1"/>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108" w:type="dxa"/>
        <w:bottom w:w="0" w:type="dxa"/>
        <w:right w:w="108"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CellMar>
        <w:top w:w="0" w:type="dxa"/>
        <w:left w:w="108" w:type="dxa"/>
        <w:bottom w:w="0" w:type="dxa"/>
        <w:right w:w="108" w:type="dxa"/>
      </w:tblCellMar>
    </w:tblPr>
    <w:tblStylePr w:type="fir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CellMar>
        <w:top w:w="0" w:type="dxa"/>
        <w:left w:w="108" w:type="dxa"/>
        <w:bottom w:w="0" w:type="dxa"/>
        <w:right w:w="108" w:type="dxa"/>
      </w:tblCellMar>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CellMar>
        <w:top w:w="0" w:type="dxa"/>
        <w:left w:w="108" w:type="dxa"/>
        <w:bottom w:w="0" w:type="dxa"/>
        <w:right w:w="108" w:type="dxa"/>
      </w:tblCellMar>
    </w:tblPr>
    <w:tblStylePr w:type="fir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top w:w="0" w:type="dxa"/>
        <w:left w:w="108" w:type="dxa"/>
        <w:bottom w:w="0" w:type="dxa"/>
        <w:right w:w="108" w:type="dxa"/>
      </w:tblCellMar>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5B9BD5" w:themeColor="accent1" w:sz="4" w:space="0"/>
          <w:right w:val="single" w:color="5B9BD5" w:themeColor="accent1" w:sz="4" w:space="0"/>
        </w:tcBorders>
      </w:tcPr>
    </w:tblStylePr>
    <w:tblStylePr w:type="band1Horz">
      <w:rPr>
        <w:color w:val="404040"/>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CellMar>
        <w:top w:w="0" w:type="dxa"/>
        <w:left w:w="108" w:type="dxa"/>
        <w:bottom w:w="0" w:type="dxa"/>
        <w:right w:w="108" w:type="dxa"/>
      </w:tblCellMar>
    </w:tblPr>
    <w:tblStylePr w:type="firstRow">
      <w:rPr>
        <w:b/>
        <w:color w:val="FFFFFF"/>
        <w:sz w:val="22"/>
      </w:rPr>
      <w:tblPr/>
      <w:tcPr>
        <w:shd w:val="clear" w:color="F4B184"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top w:w="0" w:type="dxa"/>
        <w:left w:w="108" w:type="dxa"/>
        <w:bottom w:w="0" w:type="dxa"/>
        <w:right w:w="108" w:type="dxa"/>
      </w:tblCellMar>
    </w:tblPr>
    <w:tblStylePr w:type="firstRow">
      <w:rPr>
        <w:b/>
        <w:color w:val="FFFFFF"/>
        <w:sz w:val="22"/>
      </w:rPr>
      <w:tblPr/>
      <w:tcPr>
        <w:shd w:val="clear" w:color="C9C9C9"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CellMar>
        <w:top w:w="0" w:type="dxa"/>
        <w:left w:w="108" w:type="dxa"/>
        <w:bottom w:w="0" w:type="dxa"/>
        <w:right w:w="108" w:type="dxa"/>
      </w:tblCellMar>
    </w:tblPr>
    <w:tblStylePr w:type="firstRow">
      <w:rPr>
        <w:b/>
        <w:color w:val="FFFFFF"/>
        <w:sz w:val="22"/>
      </w:rPr>
      <w:tblPr/>
      <w:tcPr>
        <w:shd w:val="clear" w:color="FFD865"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CellMar>
        <w:top w:w="0" w:type="dxa"/>
        <w:left w:w="108" w:type="dxa"/>
        <w:bottom w:w="0" w:type="dxa"/>
        <w:right w:w="108" w:type="dxa"/>
      </w:tblCellMar>
    </w:tblPr>
    <w:tblStylePr w:type="firstRow">
      <w:rPr>
        <w:b/>
        <w:color w:val="FFFFFF"/>
        <w:sz w:val="22"/>
      </w:rPr>
      <w:tblPr/>
      <w:tcPr>
        <w:shd w:val="clear" w:color="8DA9DB" w:fill="8DA9DB"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DA9DB" w:themeColor="accent5" w:sz="4" w:space="0"/>
          <w:right w:val="single" w:color="8DA9DB" w:themeColor="accent5" w:sz="4" w:space="0"/>
        </w:tcBorders>
      </w:tcPr>
    </w:tblStylePr>
    <w:tblStylePr w:type="band1Horz">
      <w:rPr>
        <w:color w:val="404040"/>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top w:w="0" w:type="dxa"/>
        <w:left w:w="108" w:type="dxa"/>
        <w:bottom w:w="0" w:type="dxa"/>
        <w:right w:w="108" w:type="dxa"/>
      </w:tblCellMar>
    </w:tblPr>
    <w:tblStylePr w:type="firstRow">
      <w:rPr>
        <w:b/>
        <w:color w:val="FFFFFF"/>
        <w:sz w:val="22"/>
      </w:rPr>
      <w:tblPr/>
      <w:tcPr>
        <w:shd w:val="clear" w:color="A9D08E"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customStyle="1" w:styleId="-410">
    <w:name w:val="Список-таблица 4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CellMar>
        <w:top w:w="0" w:type="dxa"/>
        <w:left w:w="108" w:type="dxa"/>
        <w:bottom w:w="0" w:type="dxa"/>
        <w:right w:w="108" w:type="dxa"/>
      </w:tblCellMar>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b/>
        <w:color w:val="FFFFFF"/>
        <w:sz w:val="22"/>
      </w:rPr>
      <w:tblPr/>
      <w:tcPr>
        <w:shd w:val="clear" w:color="ED7D31"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b/>
        <w:color w:val="FFFFFF"/>
        <w:sz w:val="22"/>
      </w:rPr>
      <w:tblPr/>
      <w:tcPr>
        <w:shd w:val="clear" w:color="A5A5A5"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CellMar>
        <w:top w:w="0" w:type="dxa"/>
        <w:left w:w="108" w:type="dxa"/>
        <w:bottom w:w="0" w:type="dxa"/>
        <w:right w:w="108" w:type="dxa"/>
      </w:tblCellMar>
    </w:tblPr>
    <w:tblStylePr w:type="firstRow">
      <w:rPr>
        <w:b/>
        <w:color w:val="FFFFFF"/>
        <w:sz w:val="22"/>
      </w:rPr>
      <w:tblPr/>
      <w:tcPr>
        <w:shd w:val="clear" w:color="FFC000"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CellMar>
        <w:top w:w="0" w:type="dxa"/>
        <w:left w:w="108" w:type="dxa"/>
        <w:bottom w:w="0" w:type="dxa"/>
        <w:right w:w="108" w:type="dxa"/>
      </w:tblCellMar>
    </w:tblPr>
    <w:tblStylePr w:type="firstRow">
      <w:rPr>
        <w:b/>
        <w:color w:val="FFFFFF"/>
        <w:sz w:val="22"/>
      </w:rPr>
      <w:tblPr/>
      <w:tcPr>
        <w:shd w:val="clear" w:color="4472C4" w:fill="4472C4"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b/>
        <w:color w:val="FFFFFF"/>
        <w:sz w:val="22"/>
      </w:rPr>
      <w:tblPr/>
      <w:tcPr>
        <w:shd w:val="clear" w:color="70AD47"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108" w:type="dxa"/>
        <w:bottom w:w="0" w:type="dxa"/>
        <w:right w:w="108"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CellMar>
        <w:top w:w="0" w:type="dxa"/>
        <w:left w:w="108" w:type="dxa"/>
        <w:bottom w:w="0" w:type="dxa"/>
        <w:right w:w="108" w:type="dxa"/>
      </w:tblCellMar>
    </w:tblPr>
    <w:tblStylePr w:type="firstRow">
      <w:rPr>
        <w:b/>
        <w:color w:val="FFFFFF"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val="FFFFFF" w:themeColor="light1"/>
        <w:sz w:val="22"/>
      </w:rPr>
      <w:tbl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CellMar>
        <w:top w:w="0" w:type="dxa"/>
        <w:left w:w="108" w:type="dxa"/>
        <w:bottom w:w="0" w:type="dxa"/>
        <w:right w:w="108" w:type="dxa"/>
      </w:tblCellMar>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5B9BD5" w:themeColor="accent1" w:sz="4" w:space="0"/>
        <w:bottom w:val="single" w:color="5B9BD5" w:themeColor="accent1" w:sz="4" w:space="0"/>
      </w:tblBorders>
      <w:tblCellMar>
        <w:top w:w="0" w:type="dxa"/>
        <w:left w:w="108" w:type="dxa"/>
        <w:bottom w:w="0" w:type="dxa"/>
        <w:right w:w="108" w:type="dxa"/>
      </w:tblCellMar>
    </w:tblPr>
    <w:tblStylePr w:type="firstRow">
      <w:rPr>
        <w:b/>
        <w:color w:val="245A8D" w:themeColor="accent1" w:themeShade="95"/>
      </w:rPr>
      <w:tblPr/>
      <w:tcPr>
        <w:tcBorders>
          <w:bottom w:val="single" w:color="5B9BD5" w:themeColor="accent1" w:sz="4" w:space="0"/>
        </w:tcBorders>
      </w:tcPr>
    </w:tblStylePr>
    <w:tblStylePr w:type="lastRow">
      <w:rPr>
        <w:b/>
        <w:color w:val="245A8D" w:themeColor="accent1" w:themeShade="95"/>
      </w:rPr>
      <w:tblPr/>
      <w:tcPr>
        <w:tcBorders>
          <w:top w:val="single" w:color="5B9BD5" w:themeColor="accent1" w:sz="4" w:space="0"/>
        </w:tcBorders>
      </w:tcPr>
    </w:tblStylePr>
    <w:tblStylePr w:type="firstCol">
      <w:rPr>
        <w:b/>
        <w:color w:val="245A8D" w:themeColor="accent1" w:themeShade="95"/>
      </w:rPr>
      <w:tblPr/>
    </w:tblStylePr>
    <w:tblStylePr w:type="lastCol">
      <w:rPr>
        <w:b/>
        <w:color w:val="245A8D" w:themeColor="accent1" w:themeShade="95"/>
      </w:rPr>
      <w:tbl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CellMar>
        <w:top w:w="0" w:type="dxa"/>
        <w:left w:w="108" w:type="dxa"/>
        <w:bottom w:w="0" w:type="dxa"/>
        <w:right w:w="108" w:type="dxa"/>
      </w:tblCellMar>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CellMar>
        <w:top w:w="0" w:type="dxa"/>
        <w:left w:w="108" w:type="dxa"/>
        <w:bottom w:w="0" w:type="dxa"/>
        <w:right w:w="108" w:type="dxa"/>
      </w:tblCellMar>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CellMar>
        <w:top w:w="0" w:type="dxa"/>
        <w:left w:w="108" w:type="dxa"/>
        <w:bottom w:w="0" w:type="dxa"/>
        <w:right w:w="108" w:type="dxa"/>
      </w:tblCellMar>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8DA9DB" w:themeColor="accent5" w:themeTint="9a" w:sz="4" w:space="0"/>
        <w:bottom w:val="single" w:color="8DA9DB" w:themeColor="accent5" w:themeTint="9a" w:sz="4" w:space="0"/>
      </w:tblBorders>
      <w:tblCellMar>
        <w:top w:w="0" w:type="dxa"/>
        <w:left w:w="108" w:type="dxa"/>
        <w:bottom w:w="0" w:type="dxa"/>
        <w:right w:w="108" w:type="dxa"/>
      </w:tblCellMar>
    </w:tblPr>
    <w:tblStylePr w:type="firstRow">
      <w:rPr>
        <w:b/>
        <w:color w:val="8DA9DB" w:themeColor="accent5" w:themeTint="9a" w:themeShade="95"/>
      </w:rPr>
      <w:tblPr/>
      <w:tcPr>
        <w:tcBorders>
          <w:bottom w:val="single" w:color="8DA9DB" w:themeColor="accent5" w:sz="4" w:space="0"/>
        </w:tcBorders>
      </w:tcPr>
    </w:tblStylePr>
    <w:tblStylePr w:type="lastRow">
      <w:rPr>
        <w:b/>
        <w:color w:val="8DA9DB" w:themeColor="accent5" w:themeTint="9a" w:themeShade="95"/>
      </w:rPr>
      <w:tblPr/>
      <w:tcPr>
        <w:tcBorders>
          <w:top w:val="single" w:color="8DA9DB" w:themeColor="accent5" w:sz="4" w:space="0"/>
        </w:tcBorders>
      </w:tcPr>
    </w:tblStylePr>
    <w:tblStylePr w:type="firstCol">
      <w:rPr>
        <w:b/>
        <w:color w:val="8DA9DB" w:themeColor="accent5" w:themeTint="9a" w:themeShade="95"/>
      </w:rPr>
      <w:tblPr/>
    </w:tblStylePr>
    <w:tblStylePr w:type="lastCol">
      <w:rPr>
        <w:b/>
        <w:color w:val="8DA9DB" w:themeColor="accent5" w:themeTint="9a" w:themeShade="95"/>
      </w:rPr>
      <w:tbl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CellMar>
        <w:top w:w="0" w:type="dxa"/>
        <w:left w:w="108" w:type="dxa"/>
        <w:bottom w:w="0" w:type="dxa"/>
        <w:right w:w="108" w:type="dxa"/>
      </w:tblCellMar>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710">
    <w:name w:val="Список-таблица 7 цветная1"/>
    <w:basedOn w:val="a1"/>
    <w:uiPriority w:val="99"/>
    <w:tblPr>
      <w:tblStyleRowBandSize w:val="1"/>
      <w:tblStyleColBandSize w:val="1"/>
      <w:tblBorders>
        <w:right w:val="single" w:color="7F7F7F" w:themeColor="text1" w:themeTint="80" w:sz="4" w:space="0"/>
      </w:tblBorders>
      <w:tblCellMar>
        <w:top w:w="0" w:type="dxa"/>
        <w:left w:w="108" w:type="dxa"/>
        <w:bottom w:w="0" w:type="dxa"/>
        <w:right w:w="108" w:type="dxa"/>
      </w:tblCellMar>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5B9BD5" w:themeColor="accent1" w:sz="4" w:space="0"/>
      </w:tblBorders>
      <w:tblCellMar>
        <w:top w:w="0" w:type="dxa"/>
        <w:left w:w="108" w:type="dxa"/>
        <w:bottom w:w="0" w:type="dxa"/>
        <w:right w:w="108" w:type="dxa"/>
      </w:tblCellMar>
    </w:tblPr>
    <w:tblStylePr w:type="firstRow">
      <w:rPr>
        <w:i/>
        <w:color w:val="245A8D"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FFFFFF" w:fill="FFFFFF" w:themeFill="light1"/>
      </w:tcPr>
    </w:tblStylePr>
    <w:tblStylePr w:type="lastRow">
      <w:rPr>
        <w:i/>
        <w:color w:val="245A8D"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45A8D"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FFFFFF" w:fill="auto"/>
      </w:tcPr>
    </w:tblStylePr>
    <w:tblStylePr w:type="lastCol">
      <w:rPr>
        <w:i/>
        <w:color w:val="245A8D"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CellMar>
        <w:top w:w="0" w:type="dxa"/>
        <w:left w:w="108" w:type="dxa"/>
        <w:bottom w:w="0" w:type="dxa"/>
        <w:right w:w="108" w:type="dxa"/>
      </w:tblCellMar>
    </w:tblPr>
    <w:tblStylePr w:type="firstRow">
      <w:rPr>
        <w:i/>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CellMar>
        <w:top w:w="0" w:type="dxa"/>
        <w:left w:w="108" w:type="dxa"/>
        <w:bottom w:w="0" w:type="dxa"/>
        <w:right w:w="108" w:type="dxa"/>
      </w:tblCellMar>
    </w:tblPr>
    <w:tblStylePr w:type="firstRow">
      <w:rPr>
        <w:i/>
        <w:color w:val="C9C9C9"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9C9C9"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CellMar>
        <w:top w:w="0" w:type="dxa"/>
        <w:left w:w="108" w:type="dxa"/>
        <w:bottom w:w="0" w:type="dxa"/>
        <w:right w:w="108" w:type="dxa"/>
      </w:tblCellMar>
    </w:tblPr>
    <w:tblStylePr w:type="firstRow">
      <w:rPr>
        <w:i/>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8DA9DB" w:themeColor="accent5" w:themeTint="9a" w:sz="4" w:space="0"/>
      </w:tblBorders>
      <w:tblCellMar>
        <w:top w:w="0" w:type="dxa"/>
        <w:left w:w="108" w:type="dxa"/>
        <w:bottom w:w="0" w:type="dxa"/>
        <w:right w:w="108" w:type="dxa"/>
      </w:tblCellMar>
    </w:tblPr>
    <w:tblStylePr w:type="firstRow">
      <w:rPr>
        <w:i/>
        <w:color w:val="8DA9DB" w:themeColor="accent5" w:themeTint="9a" w:themeShade="95"/>
        <w:sz w:val="22"/>
      </w:rPr>
      <w:tblPr/>
      <w:tcPr>
        <w:tcBorders>
          <w:top w:val="none" w:color="auto" w:sz="0" w:space="0"/>
          <w:left w:val="none" w:color="auto" w:sz="0" w:space="0"/>
          <w:bottom w:val="single" w:color="8DA9DB" w:themeColor="accent5" w:sz="4" w:space="0"/>
          <w:right w:val="none" w:color="auto" w:sz="0" w:space="0"/>
        </w:tcBorders>
        <w:shd w:val="clear" w:color="FFFFFF" w:fill="FFFFFF" w:themeFill="light1"/>
      </w:tcPr>
    </w:tblStylePr>
    <w:tblStylePr w:type="lastRow">
      <w:rPr>
        <w:i/>
        <w:color w:val="8DA9DB" w:themeColor="accent5" w:themeTint="9a" w:themeShade="95"/>
        <w:sz w:val="22"/>
      </w:rPr>
      <w:tblPr/>
      <w:tcPr>
        <w:tcBorders>
          <w:top w:val="single" w:color="8DA9DB"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8DA9DB" w:themeColor="accent5" w:themeTint="9a" w:themeShade="95"/>
        <w:sz w:val="22"/>
      </w:rPr>
      <w:tblPr/>
      <w:tcPr>
        <w:tcBorders>
          <w:top w:val="none" w:color="auto" w:sz="0" w:space="0"/>
          <w:left w:val="none" w:color="auto" w:sz="0" w:space="0"/>
          <w:bottom w:val="none" w:color="auto" w:sz="0" w:space="0"/>
          <w:right w:val="single" w:color="8DA9DB" w:themeColor="accent5" w:sz="4" w:space="0"/>
        </w:tcBorders>
        <w:shd w:val="clear" w:color="FFFFFF" w:fill="auto"/>
      </w:tcPr>
    </w:tblStylePr>
    <w:tblStylePr w:type="lastCol">
      <w:rPr>
        <w:i/>
        <w:color w:val="8DA9DB" w:themeColor="accent5" w:themeTint="9a" w:themeShade="95"/>
        <w:sz w:val="22"/>
      </w:rPr>
      <w:tblPr/>
      <w:tcPr>
        <w:tcBorders>
          <w:top w:val="none" w:color="auto" w:sz="0" w:space="0"/>
          <w:left w:val="single" w:color="8DA9DB" w:themeColor="accent5" w:sz="4" w:space="0"/>
          <w:bottom w:val="none" w:color="auto" w:sz="0" w:space="0"/>
          <w:right w:val="none" w:color="auto" w:sz="0" w:space="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CellMar>
        <w:top w:w="0" w:type="dxa"/>
        <w:left w:w="108" w:type="dxa"/>
        <w:bottom w:w="0" w:type="dxa"/>
        <w:right w:w="108" w:type="dxa"/>
      </w:tblCellMar>
    </w:tblPr>
    <w:tblStylePr w:type="firstRow">
      <w:rPr>
        <w:i/>
        <w:color w:val="A9D08E"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9D08E"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CellMar>
        <w:top w:w="0" w:type="dxa"/>
        <w:left w:w="108" w:type="dxa"/>
        <w:bottom w:w="0" w:type="dxa"/>
        <w:right w:w="108" w:type="dxa"/>
      </w:tblCellMar>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CellMar>
        <w:top w:w="0" w:type="dxa"/>
        <w:left w:w="108" w:type="dxa"/>
        <w:bottom w:w="0" w:type="dxa"/>
        <w:right w:w="108" w:type="dxa"/>
      </w:tblCellMar>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CellMar>
        <w:top w:w="0" w:type="dxa"/>
        <w:left w:w="108" w:type="dxa"/>
        <w:bottom w:w="0" w:type="dxa"/>
        <w:right w:w="108" w:type="dxa"/>
      </w:tblCellMar>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CellMar>
        <w:top w:w="0" w:type="dxa"/>
        <w:left w:w="108" w:type="dxa"/>
        <w:bottom w:w="0" w:type="dxa"/>
        <w:right w:w="108" w:type="dxa"/>
      </w:tblCellMar>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CellMar>
        <w:top w:w="0" w:type="dxa"/>
        <w:left w:w="108" w:type="dxa"/>
        <w:bottom w:w="0" w:type="dxa"/>
        <w:right w:w="108" w:type="dxa"/>
      </w:tblCellMar>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CellMar>
        <w:top w:w="0" w:type="dxa"/>
        <w:left w:w="108" w:type="dxa"/>
        <w:bottom w:w="0" w:type="dxa"/>
        <w:right w:w="108" w:type="dxa"/>
      </w:tblCellMar>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108" w:type="dxa"/>
        <w:bottom w:w="0" w:type="dxa"/>
        <w:right w:w="108"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108" w:type="dxa"/>
        <w:bottom w:w="0" w:type="dxa"/>
        <w:right w:w="108" w:type="dxa"/>
      </w:tblCellMar>
    </w:tblPr>
    <w:tblStylePr w:type="firstRow">
      <w:rPr>
        <w:color w:val="404040"/>
        <w:sz w:val="22"/>
      </w:rPr>
      <w:tblPr/>
      <w:tcPr>
        <w:tcBorders>
          <w:bottom w:val="single" w:color="5B9BD5" w:themeColor="accent1" w:sz="12" w:space="0"/>
        </w:tcBorders>
      </w:tcPr>
    </w:tblStylePr>
    <w:tblStylePr w:type="lastRow">
      <w:rPr>
        <w:color w:val="404040"/>
        <w:sz w:val="22"/>
      </w:rPr>
      <w:tblPr/>
      <w:tcPr>
        <w:tcBorders>
          <w:top w:val="single" w:color="5B9BD5" w:themeColor="accent1" w:sz="12" w:space="0"/>
        </w:tcBorders>
      </w:tcPr>
    </w:tblStylePr>
    <w:tblStylePr w:type="firstCol">
      <w:rPr>
        <w:color w:val="404040"/>
        <w:sz w:val="22"/>
      </w:rPr>
      <w:tblPr/>
    </w:tblStylePr>
    <w:tblStylePr w:type="lastCol">
      <w:rPr>
        <w:color w:val="404040"/>
        <w:sz w:val="22"/>
      </w:rPr>
      <w:tblPr/>
      <w:tcPr>
        <w:tcBorders>
          <w:left w:val="single" w:color="5B9BD5" w:themeColor="accent1" w:sz="12" w:space="0"/>
        </w:tcBorders>
      </w:tc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top w:w="0" w:type="dxa"/>
        <w:left w:w="108" w:type="dxa"/>
        <w:bottom w:w="0" w:type="dxa"/>
        <w:right w:w="108" w:type="dxa"/>
      </w:tblCellMar>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CellMar>
        <w:top w:w="0" w:type="dxa"/>
        <w:left w:w="108" w:type="dxa"/>
        <w:bottom w:w="0" w:type="dxa"/>
        <w:right w:w="108" w:type="dxa"/>
      </w:tblCellMar>
    </w:tblPr>
    <w:tblStylePr w:type="firstRow">
      <w:rPr>
        <w:color w:val="404040"/>
        <w:sz w:val="22"/>
      </w:rPr>
      <w:tblPr/>
      <w:tcPr>
        <w:tcBorders>
          <w:bottom w:val="single" w:color="8DA9DB" w:themeColor="accent5" w:sz="12" w:space="0"/>
        </w:tcBorders>
      </w:tcPr>
    </w:tblStylePr>
    <w:tblStylePr w:type="lastRow">
      <w:rPr>
        <w:color w:val="404040"/>
        <w:sz w:val="22"/>
      </w:rPr>
      <w:tblPr/>
      <w:tcPr>
        <w:tcBorders>
          <w:top w:val="single" w:color="8DA9DB" w:themeColor="accent5" w:sz="12" w:space="0"/>
        </w:tcBorders>
      </w:tcPr>
    </w:tblStylePr>
    <w:tblStylePr w:type="firstCol">
      <w:rPr>
        <w:color w:val="404040"/>
        <w:sz w:val="22"/>
      </w:rPr>
      <w:tblPr/>
    </w:tblStylePr>
    <w:tblStylePr w:type="lastCol">
      <w:rPr>
        <w:color w:val="404040"/>
        <w:sz w:val="22"/>
      </w:rPr>
      <w:tblPr/>
      <w:tcPr>
        <w:tcBorders>
          <w:left w:val="single" w:color="8DA9DB" w:themeColor="accent5" w:sz="12" w:space="0"/>
        </w:tcBorders>
      </w:tc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4">
    <w:name w:val="Table Grid"/>
    <w:basedOn w:val="a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mintrud.gov.ru/docs/1872" TargetMode="External"/><Relationship Id="rId13" Type="http://schemas.openxmlformats.org/officeDocument/2006/relationships/hyperlink" Target="https://lk.rosreestr.ru/eservices/real-estate-objects-online" TargetMode="External"/><Relationship Id="rId14" Type="http://schemas.openxmlformats.org/officeDocument/2006/relationships/hyperlink" Target="https://www.gibdd.ru/r/77/contacts/div1145039/" TargetMode="External"/><Relationship Id="rId15" Type="http://schemas.openxmlformats.org/officeDocument/2006/relationships/hyperlink" Target="https://www.gibdd.ru/r/66/contacts/div1165058/" TargetMode="External"/><Relationship Id="rId16" Type="http://schemas.openxmlformats.org/officeDocument/2006/relationships/hyperlink" Target="https://www.gibdd.ru/r/66/contacts/div1165043/" TargetMode="External"/><Relationship Id="rId17" Type="http://schemas.openxmlformats.org/officeDocument/2006/relationships/hyperlink" Target="https://cbr.ru/vfs/registers/infr/list_OIS.xlsx" TargetMode="External"/><Relationship Id="rId18" Type="http://schemas.openxmlformats.org/officeDocument/2006/relationships/hyperlink" Target="http://www.cbr.ru/vfs/registers/infr/list_invest_platform_op.xlsx" TargetMode="External"/><Relationship Id="rId19" Type="http://schemas.openxmlformats.org/officeDocument/2006/relationships/hyperlink" Target="https://www.cbr.ru/hd_base/metall/metall_base_new/" TargetMode="External"/><Relationship Id="rId20" Type="http://schemas.openxmlformats.org/officeDocument/2006/relationships/hyperlink" Target="https://www.nalog.ru/rn77/related_activities/accounting/bank_account/" TargetMode="External"/><Relationship Id="rId21" Type="http://schemas.openxmlformats.org/officeDocument/2006/relationships/hyperlink" Target="https://www.cbr.ru/banking_sector/likvidbase/" TargetMode="External"/><Relationship Id="rId22" Type="http://schemas.openxmlformats.org/officeDocument/2006/relationships/hyperlink" Target="https://mintrud.gov.ru/ministry/programms/anticorruption/9/21" TargetMode="External"/><Relationship Id="rId23" Type="http://schemas.openxmlformats.org/officeDocument/2006/relationships/hyperlink" Target="https://www.cbr.ru/currency_base/daily/" TargetMode="External"/><Relationship Id="rId24" Type="http://schemas.openxmlformats.org/officeDocument/2006/relationships/header" Target="head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2C28-625A-4FB7-BA49-35F37316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LibreOffice/7.1.4.2$Windows_X86_64 LibreOffice_project/a529a4fab45b75fefc5b6226684193eb000654f6</Application>
  <AppVersion>15.0000</AppVersion>
  <Pages>53</Pages>
  <Words>21570</Words>
  <Characters>151905</Characters>
  <CharactersWithSpaces>172664</CharactersWithSpaces>
  <Paragraphs>683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2023-01-19T05:32:00Z</dcterms:created>
  <dc:creator>KovalkovaEA</dc:creator>
  <dc:description/>
  <dc:language>ru-RU</dc:language>
  <cp:lastModifiedBy>Приемная</cp:lastModifiedBy>
  <cp:lastPrinted>2022-12-30T09:43:00Z</cp:lastPrinted>
  <dcterms:modified xsi:type="dcterms:W3CDTF">2023-01-19T05:32:00Z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